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952E8">
      <w:pPr>
        <w:keepNext w:val="0"/>
        <w:keepLines w:val="0"/>
        <w:pageBreakBefore w:val="0"/>
        <w:tabs>
          <w:tab w:val="left" w:pos="2025"/>
        </w:tabs>
        <w:wordWrap/>
        <w:overflowPunct/>
        <w:bidi w:val="0"/>
        <w:spacing w:line="360" w:lineRule="auto"/>
        <w:ind w:left="0" w:leftChars="0" w:right="0"/>
        <w:jc w:val="center"/>
        <w:rPr>
          <w:rFonts w:hint="eastAsia" w:ascii="宋体" w:hAnsi="宋体" w:eastAsia="宋体" w:cs="宋体"/>
          <w:b/>
          <w:bCs w:val="0"/>
          <w:color w:val="auto"/>
          <w:kern w:val="0"/>
          <w:sz w:val="32"/>
          <w:szCs w:val="32"/>
        </w:rPr>
      </w:pPr>
      <w:r>
        <w:rPr>
          <w:rFonts w:hint="eastAsia" w:ascii="宋体" w:hAnsi="宋体" w:eastAsia="宋体" w:cs="宋体"/>
          <w:b/>
          <w:bCs w:val="0"/>
          <w:color w:val="auto"/>
          <w:sz w:val="32"/>
          <w:szCs w:val="32"/>
        </w:rPr>
        <w:t>武进区建设工程招标公告（7.0项目）</w:t>
      </w:r>
    </w:p>
    <w:p w14:paraId="0DCC3505">
      <w:pPr>
        <w:keepNext w:val="0"/>
        <w:keepLines w:val="0"/>
        <w:pageBreakBefore w:val="0"/>
        <w:widowControl w:val="0"/>
        <w:tabs>
          <w:tab w:val="left" w:pos="2025"/>
        </w:tabs>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b/>
          <w:bCs/>
          <w:color w:val="auto"/>
          <w:kern w:val="0"/>
          <w:sz w:val="24"/>
          <w:szCs w:val="24"/>
        </w:rPr>
      </w:pPr>
    </w:p>
    <w:p w14:paraId="69A30385">
      <w:pPr>
        <w:keepNext w:val="0"/>
        <w:keepLines w:val="0"/>
        <w:pageBreakBefore w:val="0"/>
        <w:widowControl w:val="0"/>
        <w:tabs>
          <w:tab w:val="left" w:pos="2025"/>
        </w:tabs>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一、招标条件</w:t>
      </w:r>
      <w:r>
        <w:rPr>
          <w:rFonts w:hint="eastAsia" w:ascii="宋体" w:hAnsi="宋体" w:eastAsia="宋体" w:cs="宋体"/>
          <w:b/>
          <w:bCs/>
          <w:color w:val="auto"/>
          <w:kern w:val="0"/>
          <w:sz w:val="24"/>
          <w:szCs w:val="24"/>
        </w:rPr>
        <w:tab/>
      </w:r>
    </w:p>
    <w:p w14:paraId="2F25E17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本招标项目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eastAsia="zh-CN"/>
        </w:rPr>
        <w:t>武进国家高新区新能源产业基础设施配套工程</w:t>
      </w:r>
      <w:r>
        <w:rPr>
          <w:rFonts w:hint="eastAsia" w:ascii="宋体" w:hAnsi="宋体" w:eastAsia="宋体" w:cs="宋体"/>
          <w:color w:val="auto"/>
          <w:kern w:val="0"/>
          <w:sz w:val="24"/>
          <w:szCs w:val="24"/>
          <w:highlight w:val="none"/>
        </w:rPr>
        <w:t>（项目名称）已由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常州市武进区发展和改革局 </w:t>
      </w:r>
      <w:r>
        <w:rPr>
          <w:rFonts w:hint="eastAsia" w:ascii="宋体" w:hAnsi="宋体" w:eastAsia="宋体" w:cs="宋体"/>
          <w:color w:val="auto"/>
          <w:kern w:val="0"/>
          <w:sz w:val="24"/>
          <w:szCs w:val="24"/>
          <w:highlight w:val="none"/>
        </w:rPr>
        <w:t>（项目审批、核准或备案机关名称）以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eastAsia="zh-CN"/>
        </w:rPr>
        <w:t>批文名为：区发展和改革局关于武进国家高新区新能源产业基础设施配套工程项目可行性研究报告的批复，编号为：武发改复[2023]53号</w:t>
      </w:r>
      <w:r>
        <w:rPr>
          <w:rFonts w:hint="eastAsia" w:ascii="宋体" w:hAnsi="宋体" w:eastAsia="宋体" w:cs="宋体"/>
          <w:color w:val="auto"/>
          <w:kern w:val="0"/>
          <w:sz w:val="24"/>
          <w:szCs w:val="24"/>
          <w:highlight w:val="none"/>
        </w:rPr>
        <w:t>（批文名称及编号）批准建设，招标人为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eastAsia="zh-CN"/>
        </w:rPr>
        <w:t xml:space="preserve">武进高新技术产业开发区创新发展中心 </w:t>
      </w:r>
      <w:r>
        <w:rPr>
          <w:rFonts w:hint="eastAsia" w:ascii="宋体" w:hAnsi="宋体" w:eastAsia="宋体" w:cs="宋体"/>
          <w:color w:val="auto"/>
          <w:kern w:val="0"/>
          <w:sz w:val="24"/>
          <w:szCs w:val="24"/>
          <w:highlight w:val="none"/>
        </w:rPr>
        <w:t>，建设资金来自</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自筹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（资金来源），项目出资比例为</w:t>
      </w:r>
      <w:r>
        <w:rPr>
          <w:rFonts w:hint="eastAsia" w:ascii="宋体" w:hAnsi="宋体" w:eastAsia="宋体" w:cs="宋体"/>
          <w:b/>
          <w:bCs/>
          <w:color w:val="auto"/>
          <w:kern w:val="0"/>
          <w:sz w:val="24"/>
          <w:szCs w:val="24"/>
          <w:highlight w:val="none"/>
          <w:u w:val="single"/>
        </w:rPr>
        <w:t>国有资金：100.00 %,私有资金：0.00 %,外国政府及组织投资:0.00 %,境外私人投资:0.00 %</w:t>
      </w:r>
      <w:r>
        <w:rPr>
          <w:rFonts w:hint="eastAsia" w:ascii="宋体" w:hAnsi="宋体" w:eastAsia="宋体" w:cs="宋体"/>
          <w:color w:val="auto"/>
          <w:kern w:val="0"/>
          <w:sz w:val="24"/>
          <w:szCs w:val="24"/>
          <w:highlight w:val="none"/>
        </w:rPr>
        <w:t xml:space="preserve">。项目已具备招标条件，现对该项目 </w:t>
      </w:r>
      <w:bookmarkStart w:id="11" w:name="_GoBack"/>
      <w:r>
        <w:rPr>
          <w:rFonts w:hint="eastAsia" w:ascii="宋体" w:hAnsi="宋体" w:eastAsia="宋体" w:cs="宋体"/>
          <w:b/>
          <w:bCs/>
          <w:color w:val="auto"/>
          <w:kern w:val="0"/>
          <w:sz w:val="24"/>
          <w:szCs w:val="24"/>
          <w:highlight w:val="none"/>
          <w:u w:val="single"/>
          <w:lang w:eastAsia="zh-CN"/>
        </w:rPr>
        <w:t>武进国家高新区新能源产业基础设施配套工程-凤栖路(凤林路——老前寨路)监理</w:t>
      </w:r>
      <w:bookmarkEnd w:id="11"/>
      <w:r>
        <w:rPr>
          <w:rFonts w:hint="eastAsia" w:ascii="宋体" w:hAnsi="宋体" w:eastAsia="宋体" w:cs="宋体"/>
          <w:b/>
          <w:bCs/>
          <w:color w:val="auto"/>
          <w:kern w:val="0"/>
          <w:sz w:val="24"/>
          <w:szCs w:val="24"/>
          <w:highlight w:val="none"/>
          <w:u w:val="single"/>
          <w:lang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（标段）进行公开招标，特邀请有兴趣的潜在投标人参加投标。 </w:t>
      </w:r>
    </w:p>
    <w:p w14:paraId="0AA881E2">
      <w:pPr>
        <w:keepNext w:val="0"/>
        <w:keepLines w:val="0"/>
        <w:pageBreakBefore w:val="0"/>
        <w:widowControl w:val="0"/>
        <w:tabs>
          <w:tab w:val="left" w:pos="2025"/>
        </w:tabs>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b/>
          <w:bCs/>
          <w:color w:val="auto"/>
          <w:kern w:val="0"/>
          <w:sz w:val="24"/>
          <w:szCs w:val="24"/>
          <w:highlight w:val="none"/>
        </w:rPr>
      </w:pPr>
      <w:bookmarkStart w:id="0" w:name="_Toc389065123"/>
      <w:bookmarkStart w:id="1" w:name="_Toc522797132"/>
      <w:r>
        <w:rPr>
          <w:rFonts w:hint="eastAsia" w:ascii="宋体" w:hAnsi="宋体" w:eastAsia="宋体" w:cs="宋体"/>
          <w:b/>
          <w:bCs/>
          <w:color w:val="auto"/>
          <w:kern w:val="0"/>
          <w:sz w:val="24"/>
          <w:szCs w:val="24"/>
          <w:highlight w:val="none"/>
        </w:rPr>
        <w:t>二、项目概况与招标范围</w:t>
      </w:r>
      <w:bookmarkEnd w:id="0"/>
      <w:bookmarkEnd w:id="1"/>
    </w:p>
    <w:p w14:paraId="5E60F4AA">
      <w:pPr>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2.1项目概况</w:t>
      </w:r>
    </w:p>
    <w:p w14:paraId="509ED2BD">
      <w:pPr>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2.1.1建设地点：</w:t>
      </w:r>
      <w:r>
        <w:rPr>
          <w:rFonts w:hint="eastAsia" w:ascii="宋体" w:hAnsi="宋体" w:eastAsia="宋体" w:cs="宋体"/>
          <w:b/>
          <w:bCs/>
          <w:color w:val="auto"/>
          <w:kern w:val="0"/>
          <w:sz w:val="24"/>
          <w:szCs w:val="24"/>
          <w:highlight w:val="none"/>
          <w:u w:val="single"/>
          <w:lang w:val="zh-CN"/>
        </w:rPr>
        <w:t>江苏省常州市武进区</w:t>
      </w:r>
      <w:r>
        <w:rPr>
          <w:rFonts w:hint="eastAsia" w:ascii="宋体" w:hAnsi="宋体" w:eastAsia="宋体" w:cs="宋体"/>
          <w:b/>
          <w:bCs/>
          <w:color w:val="auto"/>
          <w:kern w:val="0"/>
          <w:sz w:val="24"/>
          <w:szCs w:val="24"/>
          <w:highlight w:val="none"/>
          <w:u w:val="none"/>
          <w:lang w:val="zh-CN"/>
        </w:rPr>
        <w:t>。</w:t>
      </w:r>
    </w:p>
    <w:p w14:paraId="4BC4670B">
      <w:pPr>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2.1.2建设规模：</w:t>
      </w:r>
      <w:r>
        <w:rPr>
          <w:rFonts w:hint="eastAsia" w:ascii="宋体" w:hAnsi="宋体" w:eastAsia="宋体" w:cs="宋体"/>
          <w:b/>
          <w:bCs/>
          <w:color w:val="auto"/>
          <w:kern w:val="0"/>
          <w:sz w:val="24"/>
          <w:szCs w:val="24"/>
          <w:highlight w:val="none"/>
          <w:u w:val="single"/>
          <w:lang w:eastAsia="zh-CN"/>
        </w:rPr>
        <w:t xml:space="preserve">该项目位于武进区范围内,主要建设完善园区基础设施，新建道路3条，合计全长约2738米，新建河道1条，全长约1156米。其中，凤栖路北起凤林路，南至老前寨路，道路总长约430米，红线宽36米；南业路西起武宜南路 ，东至凤栖路，道路总长约1650米，红线宽18米；景德路东起新府东街，西至凤栖路，道路总长约658米，红线宽36米；丁舍浜河道东起凤栖路，西至武宜路，河道总长约1156米，上口宽20米。工程同步实施雨水、污水、给水 、燃气、电力、通信等管线及交通标志标线、路灯、绿化等附属工程。 </w:t>
      </w:r>
    </w:p>
    <w:p w14:paraId="70FA289C">
      <w:pPr>
        <w:pStyle w:val="6"/>
        <w:keepNext w:val="0"/>
        <w:keepLines w:val="0"/>
        <w:pageBreakBefore w:val="0"/>
        <w:widowControl/>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2.1.3.监理服务期限：</w:t>
      </w:r>
      <w:r>
        <w:rPr>
          <w:rFonts w:hint="eastAsia" w:ascii="宋体" w:hAnsi="宋体" w:eastAsia="宋体" w:cs="宋体"/>
          <w:b/>
          <w:bCs/>
          <w:color w:val="auto"/>
          <w:kern w:val="0"/>
          <w:sz w:val="24"/>
          <w:szCs w:val="24"/>
          <w:highlight w:val="none"/>
          <w:u w:val="single"/>
        </w:rPr>
        <w:t>监理单位的服务时间为业主发出要求开始的日期开始，工程完工及资料移交完毕缺陷责任期满后结束，缺陷责任期为 24 个月</w:t>
      </w:r>
      <w:r>
        <w:rPr>
          <w:rFonts w:hint="eastAsia" w:ascii="宋体" w:hAnsi="宋体" w:eastAsia="宋体" w:cs="宋体"/>
          <w:b/>
          <w:bCs/>
          <w:color w:val="auto"/>
          <w:kern w:val="0"/>
          <w:sz w:val="24"/>
          <w:szCs w:val="24"/>
          <w:highlight w:val="none"/>
          <w:u w:val="none"/>
        </w:rPr>
        <w:t>。</w:t>
      </w:r>
    </w:p>
    <w:p w14:paraId="375F859B">
      <w:pPr>
        <w:pStyle w:val="6"/>
        <w:keepNext w:val="0"/>
        <w:keepLines w:val="0"/>
        <w:pageBreakBefore w:val="0"/>
        <w:widowControl/>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2.1.4.投资总额：</w:t>
      </w:r>
      <w:r>
        <w:rPr>
          <w:rFonts w:hint="eastAsia" w:cs="宋体"/>
          <w:b/>
          <w:bCs/>
          <w:color w:val="auto"/>
          <w:kern w:val="0"/>
          <w:sz w:val="24"/>
          <w:szCs w:val="24"/>
          <w:highlight w:val="none"/>
          <w:u w:val="single"/>
          <w:lang w:val="en-US" w:eastAsia="zh-CN"/>
        </w:rPr>
        <w:t>33495.61</w:t>
      </w:r>
      <w:r>
        <w:rPr>
          <w:rFonts w:hint="eastAsia" w:ascii="宋体" w:hAnsi="宋体" w:eastAsia="宋体" w:cs="宋体"/>
          <w:b/>
          <w:bCs/>
          <w:color w:val="auto"/>
          <w:kern w:val="0"/>
          <w:sz w:val="24"/>
          <w:szCs w:val="24"/>
          <w:highlight w:val="none"/>
          <w:u w:val="single"/>
        </w:rPr>
        <w:t>万元</w:t>
      </w:r>
      <w:r>
        <w:rPr>
          <w:rFonts w:hint="eastAsia" w:cs="宋体"/>
          <w:b/>
          <w:bCs/>
          <w:color w:val="auto"/>
          <w:kern w:val="0"/>
          <w:sz w:val="24"/>
          <w:szCs w:val="24"/>
          <w:highlight w:val="none"/>
          <w:u w:val="single"/>
          <w:lang w:eastAsia="zh-CN"/>
        </w:rPr>
        <w:t>（</w:t>
      </w:r>
      <w:r>
        <w:rPr>
          <w:rFonts w:hint="eastAsia" w:ascii="宋体" w:hAnsi="宋体" w:eastAsia="宋体" w:cs="宋体"/>
          <w:b/>
          <w:bCs/>
          <w:color w:val="auto"/>
          <w:kern w:val="0"/>
          <w:sz w:val="24"/>
          <w:szCs w:val="24"/>
          <w:highlight w:val="none"/>
          <w:u w:val="single"/>
        </w:rPr>
        <w:t>本次招标监理取费基数按1429</w:t>
      </w:r>
      <w:r>
        <w:rPr>
          <w:rFonts w:hint="eastAsia" w:cs="宋体"/>
          <w:b/>
          <w:bCs/>
          <w:color w:val="auto"/>
          <w:kern w:val="0"/>
          <w:sz w:val="24"/>
          <w:szCs w:val="24"/>
          <w:highlight w:val="none"/>
          <w:u w:val="single"/>
          <w:lang w:val="en-US" w:eastAsia="zh-CN"/>
        </w:rPr>
        <w:t>.</w:t>
      </w:r>
      <w:r>
        <w:rPr>
          <w:rFonts w:hint="eastAsia" w:ascii="宋体" w:hAnsi="宋体" w:eastAsia="宋体" w:cs="宋体"/>
          <w:b/>
          <w:bCs/>
          <w:color w:val="auto"/>
          <w:kern w:val="0"/>
          <w:sz w:val="24"/>
          <w:szCs w:val="24"/>
          <w:highlight w:val="none"/>
          <w:u w:val="single"/>
        </w:rPr>
        <w:t>279075</w:t>
      </w:r>
      <w:r>
        <w:rPr>
          <w:rFonts w:hint="eastAsia" w:cs="宋体"/>
          <w:b/>
          <w:bCs/>
          <w:color w:val="auto"/>
          <w:kern w:val="0"/>
          <w:sz w:val="24"/>
          <w:szCs w:val="24"/>
          <w:highlight w:val="none"/>
          <w:u w:val="single"/>
          <w:lang w:val="en-US" w:eastAsia="zh-CN"/>
        </w:rPr>
        <w:t>万</w:t>
      </w:r>
      <w:r>
        <w:rPr>
          <w:rFonts w:hint="eastAsia" w:ascii="宋体" w:hAnsi="宋体" w:eastAsia="宋体" w:cs="宋体"/>
          <w:b/>
          <w:bCs/>
          <w:color w:val="auto"/>
          <w:kern w:val="0"/>
          <w:sz w:val="24"/>
          <w:szCs w:val="24"/>
          <w:highlight w:val="none"/>
          <w:u w:val="single"/>
        </w:rPr>
        <w:t>元计取</w:t>
      </w:r>
      <w:r>
        <w:rPr>
          <w:rFonts w:hint="eastAsia" w:cs="宋体"/>
          <w:b/>
          <w:bCs/>
          <w:color w:val="auto"/>
          <w:kern w:val="0"/>
          <w:sz w:val="24"/>
          <w:szCs w:val="24"/>
          <w:highlight w:val="none"/>
          <w:u w:val="single"/>
          <w:lang w:eastAsia="zh-CN"/>
        </w:rPr>
        <w:t>）</w:t>
      </w:r>
      <w:r>
        <w:rPr>
          <w:rFonts w:hint="eastAsia" w:ascii="宋体" w:hAnsi="宋体" w:eastAsia="宋体" w:cs="宋体"/>
          <w:b/>
          <w:bCs/>
          <w:color w:val="auto"/>
          <w:kern w:val="0"/>
          <w:sz w:val="24"/>
          <w:szCs w:val="24"/>
          <w:highlight w:val="none"/>
        </w:rPr>
        <w:t>。</w:t>
      </w:r>
    </w:p>
    <w:p w14:paraId="1DFF51A4">
      <w:pPr>
        <w:pStyle w:val="6"/>
        <w:keepNext w:val="0"/>
        <w:keepLines w:val="0"/>
        <w:pageBreakBefore w:val="0"/>
        <w:widowControl/>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2.1.5 质量要求：</w:t>
      </w:r>
      <w:r>
        <w:rPr>
          <w:rFonts w:hint="eastAsia" w:ascii="宋体" w:hAnsi="宋体" w:eastAsia="宋体" w:cs="宋体"/>
          <w:b/>
          <w:bCs/>
          <w:color w:val="auto"/>
          <w:kern w:val="0"/>
          <w:sz w:val="24"/>
          <w:szCs w:val="24"/>
          <w:highlight w:val="none"/>
          <w:u w:val="single"/>
        </w:rPr>
        <w:t>合格</w:t>
      </w:r>
      <w:r>
        <w:rPr>
          <w:rFonts w:hint="eastAsia" w:ascii="宋体" w:hAnsi="宋体" w:eastAsia="宋体" w:cs="宋体"/>
          <w:b/>
          <w:bCs/>
          <w:color w:val="auto"/>
          <w:kern w:val="0"/>
          <w:sz w:val="24"/>
          <w:szCs w:val="24"/>
          <w:highlight w:val="none"/>
          <w:u w:val="none"/>
        </w:rPr>
        <w:t>。</w:t>
      </w:r>
    </w:p>
    <w:p w14:paraId="39A190F3">
      <w:pPr>
        <w:pStyle w:val="6"/>
        <w:keepNext w:val="0"/>
        <w:keepLines w:val="0"/>
        <w:pageBreakBefore w:val="0"/>
        <w:widowControl/>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kern w:val="0"/>
          <w:sz w:val="24"/>
          <w:szCs w:val="24"/>
          <w:highlight w:val="none"/>
        </w:rPr>
        <w:t>2.2.本次招标范围：</w:t>
      </w:r>
      <w:r>
        <w:rPr>
          <w:rFonts w:hint="eastAsia" w:ascii="宋体" w:hAnsi="宋体" w:eastAsia="宋体" w:cs="宋体"/>
          <w:b/>
          <w:bCs/>
          <w:color w:val="auto"/>
          <w:kern w:val="0"/>
          <w:sz w:val="24"/>
          <w:szCs w:val="24"/>
          <w:highlight w:val="none"/>
          <w:u w:val="single"/>
        </w:rPr>
        <w:t>（1）监理服务范围内的施工阶段质量、进度、费用控制管理、安全生产监督管理、合同、信息等方面协调管理等招标人交办的与工程相关事项；（2）缺陷责任期及保修期内的监理服务和相关专业技术咨询服务</w:t>
      </w:r>
      <w:r>
        <w:rPr>
          <w:rFonts w:hint="eastAsia" w:ascii="宋体" w:hAnsi="宋体" w:eastAsia="宋体" w:cs="宋体"/>
          <w:b/>
          <w:bCs/>
          <w:color w:val="auto"/>
          <w:kern w:val="0"/>
          <w:sz w:val="24"/>
          <w:szCs w:val="24"/>
          <w:highlight w:val="none"/>
        </w:rPr>
        <w:t>。</w:t>
      </w:r>
    </w:p>
    <w:p w14:paraId="71266ECD">
      <w:pPr>
        <w:keepNext w:val="0"/>
        <w:keepLines w:val="0"/>
        <w:pageBreakBefore w:val="0"/>
        <w:tabs>
          <w:tab w:val="left" w:pos="2025"/>
        </w:tabs>
        <w:wordWrap/>
        <w:overflowPunct/>
        <w:bidi w:val="0"/>
        <w:spacing w:line="360" w:lineRule="auto"/>
        <w:ind w:left="0" w:leftChars="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三、投标人资格要求</w:t>
      </w:r>
    </w:p>
    <w:p w14:paraId="06254931">
      <w:pPr>
        <w:keepNext w:val="0"/>
        <w:keepLines w:val="0"/>
        <w:pageBreakBefore w:val="0"/>
        <w:tabs>
          <w:tab w:val="left" w:pos="2025"/>
        </w:tabs>
        <w:wordWrap/>
        <w:overflowPunct/>
        <w:bidi w:val="0"/>
        <w:spacing w:line="360" w:lineRule="auto"/>
        <w:ind w:left="0" w:leftChars="0" w:right="0" w:firstLine="480" w:firstLineChars="200"/>
        <w:rPr>
          <w:rFonts w:hint="eastAsia" w:ascii="宋体" w:hAnsi="宋体" w:eastAsia="宋体" w:cs="宋体"/>
          <w:color w:val="auto"/>
          <w:kern w:val="0"/>
          <w:sz w:val="24"/>
          <w:szCs w:val="24"/>
          <w:highlight w:val="none"/>
        </w:rPr>
      </w:pPr>
      <w:bookmarkStart w:id="2" w:name="_Toc389065125"/>
      <w:bookmarkStart w:id="3" w:name="_Toc522797134"/>
      <w:r>
        <w:rPr>
          <w:rFonts w:hint="eastAsia" w:ascii="宋体" w:hAnsi="宋体" w:eastAsia="宋体" w:cs="宋体"/>
          <w:color w:val="auto"/>
          <w:kern w:val="0"/>
          <w:sz w:val="24"/>
          <w:szCs w:val="24"/>
          <w:highlight w:val="none"/>
        </w:rPr>
        <w:t>本招标工程共分</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个标段，标段划分及投标人资格要求如下：</w:t>
      </w:r>
    </w:p>
    <w:tbl>
      <w:tblPr>
        <w:tblStyle w:val="19"/>
        <w:tblW w:w="10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2909"/>
        <w:gridCol w:w="1331"/>
        <w:gridCol w:w="1050"/>
        <w:gridCol w:w="2506"/>
        <w:gridCol w:w="1768"/>
      </w:tblGrid>
      <w:tr w14:paraId="6D3E2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721" w:type="dxa"/>
          </w:tcPr>
          <w:p w14:paraId="5F77DFF6">
            <w:pPr>
              <w:keepNext w:val="0"/>
              <w:keepLines w:val="0"/>
              <w:pageBreakBefore w:val="0"/>
              <w:tabs>
                <w:tab w:val="left" w:pos="2025"/>
              </w:tabs>
              <w:wordWrap/>
              <w:overflowPunct/>
              <w:bidi w:val="0"/>
              <w:spacing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标段序号</w:t>
            </w:r>
          </w:p>
        </w:tc>
        <w:tc>
          <w:tcPr>
            <w:tcW w:w="2909" w:type="dxa"/>
          </w:tcPr>
          <w:p w14:paraId="3EEB9BB7">
            <w:pPr>
              <w:keepNext w:val="0"/>
              <w:keepLines w:val="0"/>
              <w:pageBreakBefore w:val="0"/>
              <w:tabs>
                <w:tab w:val="left" w:pos="2025"/>
              </w:tabs>
              <w:wordWrap/>
              <w:overflowPunct/>
              <w:bidi w:val="0"/>
              <w:spacing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标段内容</w:t>
            </w:r>
          </w:p>
        </w:tc>
        <w:tc>
          <w:tcPr>
            <w:tcW w:w="1331" w:type="dxa"/>
          </w:tcPr>
          <w:p w14:paraId="4603F2B5">
            <w:pPr>
              <w:keepNext w:val="0"/>
              <w:keepLines w:val="0"/>
              <w:pageBreakBefore w:val="0"/>
              <w:tabs>
                <w:tab w:val="left" w:pos="2025"/>
              </w:tabs>
              <w:wordWrap/>
              <w:overflowPunct/>
              <w:bidi w:val="0"/>
              <w:spacing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规模面积 (平方米)</w:t>
            </w:r>
          </w:p>
        </w:tc>
        <w:tc>
          <w:tcPr>
            <w:tcW w:w="1050" w:type="dxa"/>
          </w:tcPr>
          <w:p w14:paraId="1722567E">
            <w:pPr>
              <w:keepNext w:val="0"/>
              <w:keepLines w:val="0"/>
              <w:pageBreakBefore w:val="0"/>
              <w:tabs>
                <w:tab w:val="left" w:pos="2025"/>
              </w:tabs>
              <w:wordWrap/>
              <w:overflowPunct/>
              <w:bidi w:val="0"/>
              <w:spacing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估算价 (万元)</w:t>
            </w:r>
          </w:p>
        </w:tc>
        <w:tc>
          <w:tcPr>
            <w:tcW w:w="2506" w:type="dxa"/>
          </w:tcPr>
          <w:p w14:paraId="4A380C28">
            <w:pPr>
              <w:keepNext w:val="0"/>
              <w:keepLines w:val="0"/>
              <w:pageBreakBefore w:val="0"/>
              <w:tabs>
                <w:tab w:val="left" w:pos="2025"/>
              </w:tabs>
              <w:wordWrap/>
              <w:overflowPunct/>
              <w:bidi w:val="0"/>
              <w:spacing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投标人资质类别、等级</w:t>
            </w:r>
          </w:p>
        </w:tc>
        <w:tc>
          <w:tcPr>
            <w:tcW w:w="1768" w:type="dxa"/>
          </w:tcPr>
          <w:p w14:paraId="605548DF">
            <w:pPr>
              <w:keepNext w:val="0"/>
              <w:keepLines w:val="0"/>
              <w:pageBreakBefore w:val="0"/>
              <w:tabs>
                <w:tab w:val="left" w:pos="2025"/>
              </w:tabs>
              <w:wordWrap/>
              <w:overflowPunct/>
              <w:bidi w:val="0"/>
              <w:spacing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总监理工程师专业、等 级</w:t>
            </w:r>
          </w:p>
        </w:tc>
      </w:tr>
      <w:tr w14:paraId="17768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6" w:hRule="atLeast"/>
        </w:trPr>
        <w:tc>
          <w:tcPr>
            <w:tcW w:w="721" w:type="dxa"/>
            <w:vAlign w:val="center"/>
          </w:tcPr>
          <w:p w14:paraId="1A799BFB">
            <w:pPr>
              <w:keepNext w:val="0"/>
              <w:keepLines w:val="0"/>
              <w:pageBreakBefore w:val="0"/>
              <w:tabs>
                <w:tab w:val="left" w:pos="2025"/>
              </w:tabs>
              <w:wordWrap/>
              <w:overflowPunct/>
              <w:bidi w:val="0"/>
              <w:spacing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909" w:type="dxa"/>
            <w:vAlign w:val="center"/>
          </w:tcPr>
          <w:p w14:paraId="17DF067C">
            <w:pPr>
              <w:keepNext w:val="0"/>
              <w:keepLines w:val="0"/>
              <w:pageBreakBefore w:val="0"/>
              <w:tabs>
                <w:tab w:val="left" w:pos="2025"/>
              </w:tabs>
              <w:wordWrap/>
              <w:overflowPunct/>
              <w:bidi w:val="0"/>
              <w:spacing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 xml:space="preserve">武进国家高新区新能源产业基础设施配套工程-凤栖路(凤林路——老前寨路)监理 </w:t>
            </w:r>
          </w:p>
        </w:tc>
        <w:tc>
          <w:tcPr>
            <w:tcW w:w="1331" w:type="dxa"/>
            <w:vAlign w:val="center"/>
          </w:tcPr>
          <w:p w14:paraId="60461C5D">
            <w:pPr>
              <w:keepNext w:val="0"/>
              <w:keepLines w:val="0"/>
              <w:pageBreakBefore w:val="0"/>
              <w:tabs>
                <w:tab w:val="left" w:pos="2025"/>
              </w:tabs>
              <w:wordWrap/>
              <w:overflowPunct/>
              <w:bidi w:val="0"/>
              <w:spacing w:line="360" w:lineRule="auto"/>
              <w:ind w:left="0" w:leftChars="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1050" w:type="dxa"/>
            <w:vAlign w:val="center"/>
          </w:tcPr>
          <w:p w14:paraId="09F92519">
            <w:pPr>
              <w:keepNext w:val="0"/>
              <w:keepLines w:val="0"/>
              <w:pageBreakBefore w:val="0"/>
              <w:tabs>
                <w:tab w:val="left" w:pos="2025"/>
              </w:tabs>
              <w:wordWrap/>
              <w:overflowPunct/>
              <w:bidi w:val="0"/>
              <w:spacing w:line="360" w:lineRule="auto"/>
              <w:ind w:left="0" w:leftChars="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w:t>
            </w:r>
          </w:p>
        </w:tc>
        <w:tc>
          <w:tcPr>
            <w:tcW w:w="2506" w:type="dxa"/>
            <w:vAlign w:val="center"/>
          </w:tcPr>
          <w:p w14:paraId="4F481E65">
            <w:pPr>
              <w:keepNext w:val="0"/>
              <w:keepLines w:val="0"/>
              <w:pageBreakBefore w:val="0"/>
              <w:tabs>
                <w:tab w:val="left" w:pos="2025"/>
              </w:tabs>
              <w:wordWrap/>
              <w:overflowPunct/>
              <w:bidi w:val="0"/>
              <w:spacing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w:t>
            </w:r>
            <w:r>
              <w:rPr>
                <w:rFonts w:hint="eastAsia" w:ascii="宋体" w:hAnsi="宋体" w:eastAsia="宋体" w:cs="宋体"/>
                <w:color w:val="auto"/>
                <w:kern w:val="0"/>
                <w:sz w:val="24"/>
                <w:szCs w:val="24"/>
                <w:highlight w:val="none"/>
                <w:lang w:val="en-US" w:eastAsia="zh-CN"/>
              </w:rPr>
              <w:t>备国务院</w:t>
            </w:r>
            <w:r>
              <w:rPr>
                <w:rFonts w:hint="eastAsia" w:ascii="宋体" w:hAnsi="宋体" w:eastAsia="宋体" w:cs="宋体"/>
                <w:color w:val="auto"/>
                <w:kern w:val="0"/>
                <w:sz w:val="24"/>
                <w:szCs w:val="24"/>
                <w:highlight w:val="none"/>
              </w:rPr>
              <w:t>建设行政主管部门颁发的监理综合资质或</w:t>
            </w:r>
            <w:r>
              <w:rPr>
                <w:rFonts w:hint="eastAsia" w:ascii="宋体" w:hAnsi="宋体" w:cs="宋体"/>
                <w:color w:val="auto"/>
                <w:spacing w:val="-1"/>
                <w:kern w:val="0"/>
                <w:sz w:val="24"/>
                <w:szCs w:val="24"/>
                <w:lang w:val="en-US" w:eastAsia="zh-CN"/>
              </w:rPr>
              <w:t>市政公用</w:t>
            </w:r>
            <w:r>
              <w:rPr>
                <w:rFonts w:hint="eastAsia" w:ascii="宋体" w:hAnsi="宋体" w:eastAsia="宋体" w:cs="宋体"/>
                <w:color w:val="auto"/>
                <w:kern w:val="0"/>
                <w:sz w:val="24"/>
                <w:szCs w:val="24"/>
                <w:highlight w:val="none"/>
              </w:rPr>
              <w:t>工程专业监理</w:t>
            </w:r>
            <w:r>
              <w:rPr>
                <w:rFonts w:hint="eastAsia" w:ascii="宋体" w:hAnsi="宋体" w:cs="宋体"/>
                <w:color w:val="auto"/>
                <w:kern w:val="0"/>
                <w:sz w:val="24"/>
                <w:szCs w:val="24"/>
                <w:highlight w:val="none"/>
                <w:lang w:val="en-US" w:eastAsia="zh-CN"/>
              </w:rPr>
              <w:t>甲</w:t>
            </w:r>
            <w:r>
              <w:rPr>
                <w:rFonts w:hint="eastAsia" w:ascii="宋体" w:hAnsi="宋体" w:eastAsia="宋体" w:cs="宋体"/>
                <w:color w:val="auto"/>
                <w:kern w:val="0"/>
                <w:sz w:val="24"/>
                <w:szCs w:val="24"/>
                <w:highlight w:val="none"/>
              </w:rPr>
              <w:t>级资质</w:t>
            </w:r>
          </w:p>
        </w:tc>
        <w:tc>
          <w:tcPr>
            <w:tcW w:w="1768" w:type="dxa"/>
            <w:vAlign w:val="center"/>
          </w:tcPr>
          <w:p w14:paraId="0A943E18">
            <w:pPr>
              <w:keepNext w:val="0"/>
              <w:keepLines w:val="0"/>
              <w:pageBreakBefore w:val="0"/>
              <w:tabs>
                <w:tab w:val="left" w:pos="2025"/>
              </w:tabs>
              <w:wordWrap/>
              <w:overflowPunct/>
              <w:bidi w:val="0"/>
              <w:spacing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国家注册监理工程师 (注册专业为</w:t>
            </w:r>
            <w:r>
              <w:rPr>
                <w:rFonts w:hint="eastAsia" w:ascii="宋体" w:hAnsi="宋体" w:cs="宋体"/>
                <w:color w:val="auto"/>
                <w:spacing w:val="-1"/>
                <w:kern w:val="0"/>
                <w:sz w:val="24"/>
                <w:szCs w:val="24"/>
                <w:lang w:val="en-US" w:eastAsia="zh-CN"/>
              </w:rPr>
              <w:t>市政公用</w:t>
            </w:r>
            <w:r>
              <w:rPr>
                <w:rFonts w:hint="eastAsia" w:ascii="宋体" w:hAnsi="宋体" w:eastAsia="宋体" w:cs="宋体"/>
                <w:color w:val="auto"/>
                <w:kern w:val="0"/>
                <w:sz w:val="24"/>
                <w:szCs w:val="24"/>
                <w:highlight w:val="none"/>
              </w:rPr>
              <w:t>工程)</w:t>
            </w:r>
          </w:p>
        </w:tc>
      </w:tr>
    </w:tbl>
    <w:p w14:paraId="5FFAF019">
      <w:pPr>
        <w:keepNext w:val="0"/>
        <w:keepLines w:val="0"/>
        <w:pageBreakBefore w:val="0"/>
        <w:widowControl w:val="0"/>
        <w:tabs>
          <w:tab w:val="left" w:pos="2025"/>
        </w:tabs>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各投标人均可就本招标项目上述标段中的</w:t>
      </w:r>
      <w:r>
        <w:rPr>
          <w:rFonts w:hint="eastAsia" w:ascii="宋体" w:hAnsi="宋体" w:eastAsia="宋体" w:cs="宋体"/>
          <w:b/>
          <w:bCs/>
          <w:color w:val="auto"/>
          <w:kern w:val="0"/>
          <w:sz w:val="24"/>
          <w:szCs w:val="24"/>
          <w:highlight w:val="none"/>
          <w:u w:val="single"/>
        </w:rPr>
        <w:t xml:space="preserve"> 1 </w:t>
      </w:r>
      <w:r>
        <w:rPr>
          <w:rFonts w:hint="eastAsia" w:ascii="宋体" w:hAnsi="宋体" w:eastAsia="宋体" w:cs="宋体"/>
          <w:color w:val="auto"/>
          <w:kern w:val="0"/>
          <w:sz w:val="24"/>
          <w:szCs w:val="24"/>
          <w:highlight w:val="none"/>
        </w:rPr>
        <w:t>个标段投标。</w:t>
      </w:r>
    </w:p>
    <w:p w14:paraId="3E1C558F">
      <w:pPr>
        <w:keepNext w:val="0"/>
        <w:keepLines w:val="0"/>
        <w:pageBreakBefore w:val="0"/>
        <w:widowControl w:val="0"/>
        <w:tabs>
          <w:tab w:val="left" w:pos="2025"/>
        </w:tabs>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w:t>
      </w:r>
      <w:r>
        <w:rPr>
          <w:rFonts w:hint="eastAsia" w:ascii="宋体" w:hAnsi="宋体" w:eastAsia="宋体" w:cs="宋体"/>
          <w:b w:val="0"/>
          <w:bCs w:val="0"/>
          <w:color w:val="auto"/>
          <w:kern w:val="0"/>
          <w:sz w:val="24"/>
          <w:szCs w:val="24"/>
          <w:highlight w:val="none"/>
          <w:u w:val="none"/>
          <w:lang w:val="en-US" w:eastAsia="zh-CN"/>
        </w:rPr>
        <w:t>本次招标对投标人拟派总监理工程师在监工程要求：</w:t>
      </w:r>
      <w:r>
        <w:rPr>
          <w:rFonts w:hint="eastAsia" w:ascii="宋体" w:hAnsi="宋体" w:eastAsia="宋体" w:cs="宋体"/>
          <w:b w:val="0"/>
          <w:bCs w:val="0"/>
          <w:color w:val="auto"/>
          <w:kern w:val="0"/>
          <w:sz w:val="24"/>
          <w:szCs w:val="24"/>
          <w:highlight w:val="none"/>
          <w:u w:val="single"/>
          <w:lang w:val="en-US" w:eastAsia="zh-CN"/>
        </w:rPr>
        <w:t>无在监工程</w:t>
      </w:r>
      <w:r>
        <w:rPr>
          <w:rFonts w:hint="eastAsia" w:ascii="宋体" w:hAnsi="宋体" w:eastAsia="宋体" w:cs="宋体"/>
          <w:b w:val="0"/>
          <w:bCs w:val="0"/>
          <w:color w:val="auto"/>
          <w:kern w:val="0"/>
          <w:sz w:val="24"/>
          <w:szCs w:val="24"/>
          <w:highlight w:val="none"/>
          <w:u w:val="none"/>
          <w:lang w:val="en-US" w:eastAsia="zh-CN"/>
        </w:rPr>
        <w:t>。</w:t>
      </w:r>
    </w:p>
    <w:p w14:paraId="348E830D">
      <w:pPr>
        <w:keepNext w:val="0"/>
        <w:keepLines w:val="0"/>
        <w:pageBreakBefore w:val="0"/>
        <w:widowControl w:val="0"/>
        <w:tabs>
          <w:tab w:val="left" w:pos="2025"/>
        </w:tabs>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u w:val="none"/>
          <w:lang w:val="en-US" w:eastAsia="zh-CN"/>
        </w:rPr>
        <w:t>3.3</w:t>
      </w:r>
      <w:r>
        <w:rPr>
          <w:rFonts w:hint="eastAsia" w:ascii="宋体" w:hAnsi="宋体" w:eastAsia="宋体" w:cs="宋体"/>
          <w:color w:val="auto"/>
          <w:kern w:val="0"/>
          <w:sz w:val="24"/>
          <w:szCs w:val="24"/>
          <w:highlight w:val="none"/>
        </w:rPr>
        <w:t>本次招标</w:t>
      </w:r>
      <w:r>
        <w:rPr>
          <w:rFonts w:hint="eastAsia" w:ascii="宋体" w:hAnsi="宋体" w:eastAsia="宋体" w:cs="宋体"/>
          <w:b/>
          <w:bCs/>
          <w:color w:val="auto"/>
          <w:kern w:val="0"/>
          <w:sz w:val="24"/>
          <w:szCs w:val="24"/>
          <w:highlight w:val="none"/>
          <w:u w:val="single"/>
        </w:rPr>
        <w:t xml:space="preserve"> 不接受 </w:t>
      </w:r>
      <w:r>
        <w:rPr>
          <w:rFonts w:hint="eastAsia" w:ascii="宋体" w:hAnsi="宋体" w:eastAsia="宋体" w:cs="宋体"/>
          <w:color w:val="auto"/>
          <w:kern w:val="0"/>
          <w:sz w:val="24"/>
          <w:szCs w:val="24"/>
          <w:highlight w:val="none"/>
        </w:rPr>
        <w:t>联合体投标；</w:t>
      </w:r>
    </w:p>
    <w:p w14:paraId="5B894C28">
      <w:pPr>
        <w:keepNext w:val="0"/>
        <w:keepLines w:val="0"/>
        <w:pageBreakBefore w:val="0"/>
        <w:widowControl w:val="0"/>
        <w:tabs>
          <w:tab w:val="left" w:pos="2025"/>
        </w:tabs>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bCs w:val="0"/>
          <w:color w:val="auto"/>
          <w:kern w:val="0"/>
          <w:sz w:val="24"/>
          <w:szCs w:val="24"/>
          <w:highlight w:val="none"/>
          <w:u w:val="none"/>
          <w:lang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其他条件：</w:t>
      </w:r>
      <w:r>
        <w:rPr>
          <w:rFonts w:hint="eastAsia" w:ascii="宋体" w:hAnsi="宋体" w:eastAsia="宋体" w:cs="宋体"/>
          <w:b/>
          <w:bCs/>
          <w:color w:val="auto"/>
          <w:kern w:val="0"/>
          <w:sz w:val="24"/>
          <w:szCs w:val="24"/>
          <w:highlight w:val="none"/>
          <w:u w:val="single"/>
        </w:rPr>
        <w:t xml:space="preserve"> /  </w:t>
      </w:r>
      <w:r>
        <w:rPr>
          <w:rFonts w:hint="eastAsia" w:ascii="宋体" w:hAnsi="宋体" w:eastAsia="宋体" w:cs="宋体"/>
          <w:b w:val="0"/>
          <w:bCs w:val="0"/>
          <w:color w:val="auto"/>
          <w:kern w:val="0"/>
          <w:sz w:val="24"/>
          <w:szCs w:val="24"/>
          <w:highlight w:val="none"/>
          <w:u w:val="none"/>
          <w:lang w:eastAsia="zh-CN"/>
        </w:rPr>
        <w:t>。</w:t>
      </w:r>
    </w:p>
    <w:p w14:paraId="0899A617">
      <w:pPr>
        <w:keepNext w:val="0"/>
        <w:keepLines w:val="0"/>
        <w:pageBreakBefore w:val="0"/>
        <w:tabs>
          <w:tab w:val="left" w:pos="2025"/>
        </w:tabs>
        <w:wordWrap/>
        <w:overflowPunct/>
        <w:bidi w:val="0"/>
        <w:spacing w:line="360" w:lineRule="auto"/>
        <w:ind w:left="0" w:leftChars="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四、 </w:t>
      </w:r>
      <w:bookmarkEnd w:id="2"/>
      <w:bookmarkStart w:id="4" w:name="_Toc389065126"/>
      <w:r>
        <w:rPr>
          <w:rFonts w:hint="eastAsia" w:ascii="宋体" w:hAnsi="宋体" w:eastAsia="宋体" w:cs="宋体"/>
          <w:b/>
          <w:bCs/>
          <w:color w:val="auto"/>
          <w:kern w:val="0"/>
          <w:sz w:val="24"/>
          <w:szCs w:val="24"/>
          <w:highlight w:val="none"/>
        </w:rPr>
        <w:t>招标文件的获取</w:t>
      </w:r>
      <w:bookmarkEnd w:id="3"/>
      <w:bookmarkEnd w:id="4"/>
    </w:p>
    <w:p w14:paraId="07BE0F0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4.1招标文件获取时间为： </w:t>
      </w:r>
      <w:r>
        <w:rPr>
          <w:rFonts w:hint="eastAsia" w:ascii="宋体" w:hAnsi="宋体" w:eastAsia="宋体" w:cs="宋体"/>
          <w:b/>
          <w:bCs/>
          <w:color w:val="auto"/>
          <w:kern w:val="0"/>
          <w:sz w:val="24"/>
          <w:szCs w:val="24"/>
          <w:highlight w:val="none"/>
          <w:u w:val="single"/>
          <w:lang w:eastAsia="zh-CN"/>
        </w:rPr>
        <w:t>2024年</w:t>
      </w:r>
      <w:r>
        <w:rPr>
          <w:rFonts w:hint="eastAsia" w:ascii="宋体" w:hAnsi="宋体" w:cs="宋体"/>
          <w:b/>
          <w:bCs/>
          <w:color w:val="auto"/>
          <w:kern w:val="0"/>
          <w:sz w:val="24"/>
          <w:szCs w:val="24"/>
          <w:highlight w:val="none"/>
          <w:u w:val="single"/>
          <w:lang w:val="en-US" w:eastAsia="zh-CN"/>
        </w:rPr>
        <w:t>9</w:t>
      </w:r>
      <w:r>
        <w:rPr>
          <w:rFonts w:hint="eastAsia" w:ascii="宋体" w:hAnsi="宋体" w:eastAsia="宋体" w:cs="宋体"/>
          <w:b/>
          <w:bCs/>
          <w:color w:val="auto"/>
          <w:kern w:val="0"/>
          <w:sz w:val="24"/>
          <w:szCs w:val="24"/>
          <w:highlight w:val="none"/>
          <w:u w:val="single"/>
          <w:lang w:eastAsia="zh-CN"/>
        </w:rPr>
        <w:t>月</w:t>
      </w:r>
      <w:r>
        <w:rPr>
          <w:rFonts w:hint="eastAsia" w:ascii="宋体" w:hAnsi="宋体" w:cs="宋体"/>
          <w:b/>
          <w:bCs/>
          <w:color w:val="auto"/>
          <w:kern w:val="0"/>
          <w:sz w:val="24"/>
          <w:szCs w:val="24"/>
          <w:highlight w:val="none"/>
          <w:u w:val="single"/>
          <w:lang w:val="en-US" w:eastAsia="zh-CN"/>
        </w:rPr>
        <w:t>20</w:t>
      </w:r>
      <w:r>
        <w:rPr>
          <w:rFonts w:hint="eastAsia" w:ascii="宋体" w:hAnsi="宋体" w:eastAsia="宋体" w:cs="宋体"/>
          <w:b/>
          <w:bCs/>
          <w:color w:val="auto"/>
          <w:kern w:val="0"/>
          <w:sz w:val="24"/>
          <w:szCs w:val="24"/>
          <w:highlight w:val="none"/>
          <w:u w:val="single"/>
          <w:lang w:eastAsia="zh-CN"/>
        </w:rPr>
        <w:t>日</w:t>
      </w:r>
      <w:r>
        <w:rPr>
          <w:rFonts w:hint="eastAsia" w:ascii="宋体" w:hAnsi="宋体" w:eastAsia="宋体" w:cs="宋体"/>
          <w:b/>
          <w:bCs/>
          <w:color w:val="auto"/>
          <w:kern w:val="0"/>
          <w:sz w:val="24"/>
          <w:szCs w:val="24"/>
          <w:highlight w:val="none"/>
          <w:u w:val="single"/>
        </w:rPr>
        <w:t xml:space="preserve"> 9</w:t>
      </w:r>
      <w:r>
        <w:rPr>
          <w:rFonts w:hint="eastAsia" w:ascii="宋体" w:hAnsi="宋体" w:eastAsia="宋体" w:cs="宋体"/>
          <w:b/>
          <w:bCs/>
          <w:color w:val="auto"/>
          <w:kern w:val="0"/>
          <w:sz w:val="24"/>
          <w:szCs w:val="24"/>
          <w:highlight w:val="none"/>
          <w:u w:val="single"/>
          <w:lang w:val="zh-CN"/>
        </w:rPr>
        <w:t xml:space="preserve"> </w:t>
      </w:r>
      <w:r>
        <w:rPr>
          <w:rFonts w:hint="eastAsia" w:ascii="宋体" w:hAnsi="宋体" w:eastAsia="宋体" w:cs="宋体"/>
          <w:b/>
          <w:bCs/>
          <w:color w:val="auto"/>
          <w:kern w:val="0"/>
          <w:sz w:val="24"/>
          <w:szCs w:val="24"/>
          <w:highlight w:val="none"/>
        </w:rPr>
        <w:t>时</w:t>
      </w:r>
      <w:r>
        <w:rPr>
          <w:rFonts w:hint="eastAsia" w:ascii="宋体" w:hAnsi="宋体" w:eastAsia="宋体" w:cs="宋体"/>
          <w:b/>
          <w:bCs/>
          <w:color w:val="auto"/>
          <w:kern w:val="0"/>
          <w:sz w:val="24"/>
          <w:szCs w:val="24"/>
          <w:highlight w:val="none"/>
          <w:u w:val="single"/>
        </w:rPr>
        <w:t xml:space="preserve"> 00 </w:t>
      </w:r>
      <w:r>
        <w:rPr>
          <w:rFonts w:hint="eastAsia" w:ascii="宋体" w:hAnsi="宋体" w:eastAsia="宋体" w:cs="宋体"/>
          <w:b/>
          <w:bCs/>
          <w:color w:val="auto"/>
          <w:kern w:val="0"/>
          <w:sz w:val="24"/>
          <w:szCs w:val="24"/>
          <w:highlight w:val="none"/>
        </w:rPr>
        <w:t>分</w:t>
      </w:r>
      <w:r>
        <w:rPr>
          <w:rFonts w:hint="eastAsia" w:ascii="宋体" w:hAnsi="宋体" w:eastAsia="宋体" w:cs="宋体"/>
          <w:color w:val="auto"/>
          <w:kern w:val="0"/>
          <w:sz w:val="24"/>
          <w:szCs w:val="24"/>
          <w:highlight w:val="none"/>
        </w:rPr>
        <w:t xml:space="preserve">至投标截止日前； </w:t>
      </w:r>
    </w:p>
    <w:p w14:paraId="2E7109E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4.2招标文件获取方式：</w:t>
      </w:r>
      <w:bookmarkStart w:id="5" w:name="_Hlk508955228"/>
      <w:r>
        <w:rPr>
          <w:rFonts w:hint="eastAsia" w:ascii="宋体" w:hAnsi="宋体" w:eastAsia="宋体" w:cs="宋体"/>
          <w:color w:val="auto"/>
          <w:kern w:val="0"/>
          <w:sz w:val="24"/>
          <w:szCs w:val="24"/>
          <w:highlight w:val="none"/>
        </w:rPr>
        <w:t>投 标 人 可 以 登 录 “ 常 州 市 建 设 工 程 交 易 系 统 7.0 ”（ 网 址 ：http://gc.czggzy.cn/TPBidder/memberLogin）进行招标文件（工程量清单、图纸）的下载、招投标答疑。</w:t>
      </w:r>
      <w:bookmarkEnd w:id="5"/>
    </w:p>
    <w:p w14:paraId="3A5DC243">
      <w:pPr>
        <w:keepNext w:val="0"/>
        <w:keepLines w:val="0"/>
        <w:pageBreakBefore w:val="0"/>
        <w:wordWrap/>
        <w:overflowPunct/>
        <w:bidi w:val="0"/>
        <w:spacing w:line="360" w:lineRule="auto"/>
        <w:ind w:left="0" w:leftChars="0" w:right="0"/>
        <w:rPr>
          <w:rFonts w:hint="eastAsia" w:ascii="宋体" w:hAnsi="宋体" w:eastAsia="宋体" w:cs="宋体"/>
          <w:b/>
          <w:bCs/>
          <w:color w:val="auto"/>
          <w:kern w:val="0"/>
          <w:sz w:val="24"/>
          <w:szCs w:val="24"/>
          <w:highlight w:val="none"/>
        </w:rPr>
      </w:pPr>
      <w:bookmarkStart w:id="6" w:name="_Toc389065128"/>
      <w:r>
        <w:rPr>
          <w:rFonts w:hint="eastAsia" w:ascii="宋体" w:hAnsi="宋体" w:eastAsia="宋体" w:cs="宋体"/>
          <w:b/>
          <w:bCs/>
          <w:color w:val="auto"/>
          <w:kern w:val="0"/>
          <w:sz w:val="24"/>
          <w:szCs w:val="24"/>
          <w:highlight w:val="none"/>
        </w:rPr>
        <w:t>五、投标截止时间</w:t>
      </w:r>
    </w:p>
    <w:p w14:paraId="516E14FB">
      <w:pPr>
        <w:keepNext w:val="0"/>
        <w:keepLines w:val="0"/>
        <w:pageBreakBefore w:val="0"/>
        <w:wordWrap/>
        <w:overflowPunct/>
        <w:bidi w:val="0"/>
        <w:spacing w:line="360" w:lineRule="auto"/>
        <w:ind w:left="0" w:leftChars="0" w:righ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 投标截止时间为：</w:t>
      </w:r>
      <w:r>
        <w:rPr>
          <w:rFonts w:hint="eastAsia" w:ascii="宋体" w:hAnsi="宋体" w:eastAsia="宋体" w:cs="宋体"/>
          <w:b/>
          <w:bCs/>
          <w:color w:val="auto"/>
          <w:kern w:val="0"/>
          <w:sz w:val="24"/>
          <w:szCs w:val="24"/>
          <w:highlight w:val="none"/>
          <w:u w:val="single"/>
          <w:lang w:eastAsia="zh-CN"/>
        </w:rPr>
        <w:t>2024年</w:t>
      </w:r>
      <w:r>
        <w:rPr>
          <w:rFonts w:hint="eastAsia" w:ascii="宋体" w:hAnsi="宋体" w:cs="宋体"/>
          <w:b/>
          <w:bCs/>
          <w:color w:val="auto"/>
          <w:kern w:val="0"/>
          <w:sz w:val="24"/>
          <w:szCs w:val="24"/>
          <w:highlight w:val="none"/>
          <w:u w:val="single"/>
          <w:lang w:val="en-US" w:eastAsia="zh-CN"/>
        </w:rPr>
        <w:t>10</w:t>
      </w:r>
      <w:r>
        <w:rPr>
          <w:rFonts w:hint="eastAsia" w:ascii="宋体" w:hAnsi="宋体" w:eastAsia="宋体" w:cs="宋体"/>
          <w:b/>
          <w:bCs/>
          <w:color w:val="auto"/>
          <w:kern w:val="0"/>
          <w:sz w:val="24"/>
          <w:szCs w:val="24"/>
          <w:highlight w:val="none"/>
          <w:u w:val="single"/>
          <w:lang w:eastAsia="zh-CN"/>
        </w:rPr>
        <w:t>月</w:t>
      </w:r>
      <w:r>
        <w:rPr>
          <w:rFonts w:hint="eastAsia" w:ascii="宋体" w:hAnsi="宋体" w:cs="宋体"/>
          <w:b/>
          <w:bCs/>
          <w:color w:val="auto"/>
          <w:kern w:val="0"/>
          <w:sz w:val="24"/>
          <w:szCs w:val="24"/>
          <w:highlight w:val="none"/>
          <w:u w:val="single"/>
          <w:lang w:val="en-US" w:eastAsia="zh-CN"/>
        </w:rPr>
        <w:t>12</w:t>
      </w:r>
      <w:r>
        <w:rPr>
          <w:rFonts w:hint="eastAsia" w:ascii="宋体" w:hAnsi="宋体" w:eastAsia="宋体" w:cs="宋体"/>
          <w:b/>
          <w:bCs/>
          <w:color w:val="auto"/>
          <w:kern w:val="0"/>
          <w:sz w:val="24"/>
          <w:szCs w:val="24"/>
          <w:highlight w:val="none"/>
          <w:u w:val="single"/>
          <w:lang w:eastAsia="zh-CN"/>
        </w:rPr>
        <w:t>日</w:t>
      </w:r>
      <w:r>
        <w:rPr>
          <w:rFonts w:hint="eastAsia" w:ascii="宋体" w:hAnsi="宋体" w:eastAsia="宋体" w:cs="宋体"/>
          <w:b/>
          <w:bCs/>
          <w:color w:val="auto"/>
          <w:kern w:val="0"/>
          <w:sz w:val="24"/>
          <w:szCs w:val="24"/>
          <w:highlight w:val="none"/>
          <w:u w:val="single"/>
        </w:rPr>
        <w:t xml:space="preserve"> 9</w:t>
      </w:r>
      <w:r>
        <w:rPr>
          <w:rFonts w:hint="eastAsia" w:ascii="宋体" w:hAnsi="宋体" w:eastAsia="宋体" w:cs="宋体"/>
          <w:b/>
          <w:bCs/>
          <w:color w:val="auto"/>
          <w:kern w:val="0"/>
          <w:sz w:val="24"/>
          <w:szCs w:val="24"/>
          <w:highlight w:val="none"/>
          <w:u w:val="single"/>
          <w:lang w:val="zh-CN"/>
        </w:rPr>
        <w:t xml:space="preserve"> </w:t>
      </w:r>
      <w:r>
        <w:rPr>
          <w:rFonts w:hint="eastAsia" w:ascii="宋体" w:hAnsi="宋体" w:eastAsia="宋体" w:cs="宋体"/>
          <w:b/>
          <w:bCs/>
          <w:color w:val="auto"/>
          <w:kern w:val="0"/>
          <w:sz w:val="24"/>
          <w:szCs w:val="24"/>
          <w:highlight w:val="none"/>
        </w:rPr>
        <w:t>时</w:t>
      </w:r>
      <w:r>
        <w:rPr>
          <w:rFonts w:hint="eastAsia" w:ascii="宋体" w:hAnsi="宋体" w:eastAsia="宋体" w:cs="宋体"/>
          <w:b/>
          <w:bCs/>
          <w:color w:val="auto"/>
          <w:kern w:val="0"/>
          <w:sz w:val="24"/>
          <w:szCs w:val="24"/>
          <w:highlight w:val="none"/>
          <w:u w:val="single"/>
        </w:rPr>
        <w:t xml:space="preserve"> 00</w:t>
      </w:r>
      <w:r>
        <w:rPr>
          <w:rFonts w:hint="eastAsia" w:ascii="宋体" w:hAnsi="宋体" w:eastAsia="宋体" w:cs="宋体"/>
          <w:b/>
          <w:bCs/>
          <w:color w:val="auto"/>
          <w:kern w:val="0"/>
          <w:sz w:val="24"/>
          <w:szCs w:val="24"/>
          <w:highlight w:val="none"/>
          <w:u w:val="single"/>
          <w:lang w:val="zh-CN"/>
        </w:rPr>
        <w:t xml:space="preserve"> </w:t>
      </w:r>
      <w:r>
        <w:rPr>
          <w:rFonts w:hint="eastAsia" w:ascii="宋体" w:hAnsi="宋体" w:eastAsia="宋体" w:cs="宋体"/>
          <w:b/>
          <w:bCs/>
          <w:color w:val="auto"/>
          <w:kern w:val="0"/>
          <w:sz w:val="24"/>
          <w:szCs w:val="24"/>
          <w:highlight w:val="none"/>
        </w:rPr>
        <w:t>分</w:t>
      </w:r>
      <w:r>
        <w:rPr>
          <w:rFonts w:hint="eastAsia" w:ascii="宋体" w:hAnsi="宋体" w:eastAsia="宋体" w:cs="宋体"/>
          <w:color w:val="auto"/>
          <w:kern w:val="0"/>
          <w:sz w:val="24"/>
          <w:szCs w:val="24"/>
          <w:highlight w:val="none"/>
        </w:rPr>
        <w:t>。</w:t>
      </w:r>
    </w:p>
    <w:p w14:paraId="2E90245E">
      <w:pPr>
        <w:keepNext w:val="0"/>
        <w:keepLines w:val="0"/>
        <w:pageBreakBefore w:val="0"/>
        <w:wordWrap/>
        <w:overflowPunct/>
        <w:bidi w:val="0"/>
        <w:spacing w:line="360" w:lineRule="auto"/>
        <w:ind w:left="0" w:leftChars="0" w:righ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 逾期递交的投标文件，招标人不予受理。</w:t>
      </w:r>
    </w:p>
    <w:p w14:paraId="18001C37">
      <w:pPr>
        <w:keepNext w:val="0"/>
        <w:keepLines w:val="0"/>
        <w:pageBreakBefore w:val="0"/>
        <w:wordWrap/>
        <w:overflowPunct/>
        <w:bidi w:val="0"/>
        <w:spacing w:line="360" w:lineRule="auto"/>
        <w:ind w:left="0" w:leftChars="0" w:right="0"/>
        <w:rPr>
          <w:rFonts w:hint="eastAsia" w:ascii="宋体" w:hAnsi="宋体" w:eastAsia="宋体" w:cs="宋体"/>
          <w:b/>
          <w:bCs/>
          <w:color w:val="auto"/>
          <w:kern w:val="0"/>
          <w:sz w:val="24"/>
          <w:szCs w:val="24"/>
          <w:highlight w:val="none"/>
        </w:rPr>
      </w:pPr>
      <w:bookmarkStart w:id="7" w:name="_Toc522797136"/>
      <w:r>
        <w:rPr>
          <w:rFonts w:hint="eastAsia" w:ascii="宋体" w:hAnsi="宋体" w:eastAsia="宋体" w:cs="宋体"/>
          <w:b/>
          <w:bCs/>
          <w:color w:val="auto"/>
          <w:kern w:val="0"/>
          <w:sz w:val="24"/>
          <w:szCs w:val="24"/>
          <w:highlight w:val="none"/>
        </w:rPr>
        <w:t>六、 资格审查</w:t>
      </w:r>
      <w:bookmarkEnd w:id="7"/>
    </w:p>
    <w:p w14:paraId="56DFD712">
      <w:pPr>
        <w:keepNext w:val="0"/>
        <w:keepLines w:val="0"/>
        <w:pageBreakBefore w:val="0"/>
        <w:wordWrap/>
        <w:overflowPunct/>
        <w:topLinePunct/>
        <w:bidi w:val="0"/>
        <w:spacing w:line="360" w:lineRule="auto"/>
        <w:ind w:left="0" w:leftChars="0" w:righ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本次招标采用</w:t>
      </w:r>
      <w:r>
        <w:rPr>
          <w:rFonts w:hint="eastAsia" w:ascii="宋体" w:hAnsi="宋体" w:eastAsia="宋体" w:cs="宋体"/>
          <w:color w:val="auto"/>
          <w:kern w:val="0"/>
          <w:sz w:val="24"/>
          <w:szCs w:val="24"/>
          <w:highlight w:val="none"/>
          <w:u w:val="single"/>
        </w:rPr>
        <w:t>资格后审</w:t>
      </w:r>
      <w:r>
        <w:rPr>
          <w:rFonts w:hint="eastAsia" w:ascii="宋体" w:hAnsi="宋体" w:eastAsia="宋体" w:cs="宋体"/>
          <w:color w:val="auto"/>
          <w:kern w:val="0"/>
          <w:sz w:val="24"/>
          <w:szCs w:val="24"/>
          <w:highlight w:val="none"/>
        </w:rPr>
        <w:t>方式进行资格审查，资格评审标准详见</w:t>
      </w:r>
      <w:r>
        <w:rPr>
          <w:rFonts w:hint="eastAsia" w:ascii="宋体" w:hAnsi="宋体" w:eastAsia="宋体" w:cs="宋体"/>
          <w:color w:val="auto"/>
          <w:kern w:val="0"/>
          <w:sz w:val="24"/>
          <w:szCs w:val="24"/>
          <w:highlight w:val="none"/>
          <w:lang w:val="en-US" w:eastAsia="zh-CN"/>
        </w:rPr>
        <w:t>本</w:t>
      </w:r>
      <w:r>
        <w:rPr>
          <w:rFonts w:hint="eastAsia" w:ascii="宋体" w:hAnsi="宋体" w:eastAsia="宋体" w:cs="宋体"/>
          <w:color w:val="auto"/>
          <w:kern w:val="0"/>
          <w:sz w:val="24"/>
          <w:szCs w:val="24"/>
          <w:highlight w:val="none"/>
        </w:rPr>
        <w:t xml:space="preserve">招标公告附件二资格审查办法。 </w:t>
      </w:r>
      <w:r>
        <w:rPr>
          <w:rFonts w:hint="eastAsia" w:ascii="宋体" w:hAnsi="宋体" w:eastAsia="宋体" w:cs="宋体"/>
          <w:color w:val="auto"/>
          <w:sz w:val="24"/>
          <w:szCs w:val="24"/>
          <w:highlight w:val="none"/>
        </w:rPr>
        <w:t xml:space="preserve">  </w:t>
      </w:r>
      <w:bookmarkStart w:id="8" w:name="_Toc522797137"/>
    </w:p>
    <w:p w14:paraId="446B209F">
      <w:pPr>
        <w:keepNext w:val="0"/>
        <w:keepLines w:val="0"/>
        <w:pageBreakBefore w:val="0"/>
        <w:wordWrap/>
        <w:overflowPunct/>
        <w:bidi w:val="0"/>
        <w:spacing w:line="360" w:lineRule="auto"/>
        <w:ind w:left="0" w:leftChars="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七、评标</w:t>
      </w:r>
      <w:bookmarkEnd w:id="6"/>
      <w:r>
        <w:rPr>
          <w:rFonts w:hint="eastAsia" w:ascii="宋体" w:hAnsi="宋体" w:eastAsia="宋体" w:cs="宋体"/>
          <w:b/>
          <w:bCs/>
          <w:color w:val="auto"/>
          <w:kern w:val="0"/>
          <w:sz w:val="24"/>
          <w:szCs w:val="24"/>
          <w:highlight w:val="none"/>
        </w:rPr>
        <w:t>方法</w:t>
      </w:r>
      <w:bookmarkEnd w:id="8"/>
    </w:p>
    <w:p w14:paraId="7D449A05">
      <w:pPr>
        <w:keepNext w:val="0"/>
        <w:keepLines w:val="0"/>
        <w:pageBreakBefore w:val="0"/>
        <w:wordWrap/>
        <w:overflowPunct/>
        <w:bidi w:val="0"/>
        <w:spacing w:line="360" w:lineRule="auto"/>
        <w:ind w:left="0" w:leftChars="0" w:righ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本次招标采用</w:t>
      </w:r>
      <w:r>
        <w:rPr>
          <w:rFonts w:hint="eastAsia" w:ascii="宋体" w:hAnsi="宋体" w:eastAsia="宋体" w:cs="宋体"/>
          <w:color w:val="auto"/>
          <w:kern w:val="0"/>
          <w:sz w:val="24"/>
          <w:szCs w:val="24"/>
          <w:highlight w:val="none"/>
          <w:u w:val="single"/>
        </w:rPr>
        <w:t xml:space="preserve">  ☑综合评估法   □合理低价法   </w:t>
      </w:r>
      <w:r>
        <w:rPr>
          <w:rFonts w:hint="eastAsia" w:ascii="宋体" w:hAnsi="宋体" w:eastAsia="宋体" w:cs="宋体"/>
          <w:color w:val="auto"/>
          <w:kern w:val="0"/>
          <w:sz w:val="24"/>
          <w:szCs w:val="24"/>
          <w:highlight w:val="none"/>
        </w:rPr>
        <w:t>，评标标准和方法详见招标公告附件三。</w:t>
      </w:r>
    </w:p>
    <w:p w14:paraId="4FAADDA8">
      <w:pPr>
        <w:keepNext w:val="0"/>
        <w:keepLines w:val="0"/>
        <w:pageBreakBefore w:val="0"/>
        <w:wordWrap/>
        <w:overflowPunct/>
        <w:bidi w:val="0"/>
        <w:spacing w:line="360" w:lineRule="auto"/>
        <w:ind w:left="0" w:leftChars="0" w:right="0"/>
        <w:rPr>
          <w:rFonts w:hint="eastAsia" w:ascii="宋体" w:hAnsi="宋体" w:eastAsia="宋体" w:cs="宋体"/>
          <w:b/>
          <w:bCs/>
          <w:color w:val="auto"/>
          <w:kern w:val="0"/>
          <w:sz w:val="24"/>
          <w:szCs w:val="24"/>
          <w:highlight w:val="none"/>
        </w:rPr>
      </w:pPr>
      <w:bookmarkStart w:id="9" w:name="_Toc522797138"/>
      <w:r>
        <w:rPr>
          <w:rFonts w:hint="eastAsia" w:ascii="宋体" w:hAnsi="宋体" w:eastAsia="宋体" w:cs="宋体"/>
          <w:b/>
          <w:bCs/>
          <w:color w:val="auto"/>
          <w:kern w:val="0"/>
          <w:sz w:val="24"/>
          <w:szCs w:val="24"/>
          <w:highlight w:val="none"/>
        </w:rPr>
        <w:t>八、发布公告的媒介</w:t>
      </w:r>
      <w:bookmarkEnd w:id="9"/>
    </w:p>
    <w:p w14:paraId="6398EB1E">
      <w:pPr>
        <w:keepNext w:val="0"/>
        <w:keepLines w:val="0"/>
        <w:pageBreakBefore w:val="0"/>
        <w:wordWrap/>
        <w:overflowPunct/>
        <w:bidi w:val="0"/>
        <w:spacing w:line="360" w:lineRule="auto"/>
        <w:ind w:left="0" w:leftChars="0" w:righ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本次招标公告同时在江苏省公共资源交易服务平台、江苏建设工程招标网、常州市工程交易网、常州市武进区公共资源交易平台上发布。</w:t>
      </w:r>
    </w:p>
    <w:p w14:paraId="05054DFD">
      <w:pPr>
        <w:keepNext w:val="0"/>
        <w:keepLines w:val="0"/>
        <w:pageBreakBefore w:val="0"/>
        <w:wordWrap/>
        <w:overflowPunct/>
        <w:bidi w:val="0"/>
        <w:spacing w:line="360" w:lineRule="auto"/>
        <w:ind w:left="0" w:leftChars="0" w:right="0"/>
        <w:rPr>
          <w:rFonts w:hint="eastAsia" w:ascii="宋体" w:hAnsi="宋体" w:eastAsia="宋体" w:cs="宋体"/>
          <w:b/>
          <w:bCs/>
          <w:color w:val="auto"/>
          <w:kern w:val="0"/>
          <w:sz w:val="24"/>
          <w:szCs w:val="24"/>
          <w:highlight w:val="none"/>
        </w:rPr>
      </w:pPr>
      <w:bookmarkStart w:id="10" w:name="_Toc522797139"/>
    </w:p>
    <w:p w14:paraId="7F6AEFBF">
      <w:pPr>
        <w:keepNext w:val="0"/>
        <w:keepLines w:val="0"/>
        <w:pageBreakBefore w:val="0"/>
        <w:wordWrap/>
        <w:overflowPunct/>
        <w:bidi w:val="0"/>
        <w:spacing w:line="360" w:lineRule="auto"/>
        <w:ind w:left="0" w:leftChars="0" w:right="0"/>
        <w:rPr>
          <w:rFonts w:hint="eastAsia" w:ascii="宋体" w:hAnsi="宋体" w:eastAsia="宋体" w:cs="宋体"/>
          <w:b/>
          <w:bCs/>
          <w:color w:val="auto"/>
          <w:kern w:val="0"/>
          <w:sz w:val="24"/>
          <w:szCs w:val="24"/>
          <w:highlight w:val="none"/>
        </w:rPr>
      </w:pPr>
    </w:p>
    <w:p w14:paraId="3C5E6012">
      <w:pPr>
        <w:keepNext w:val="0"/>
        <w:keepLines w:val="0"/>
        <w:pageBreakBefore w:val="0"/>
        <w:wordWrap/>
        <w:overflowPunct/>
        <w:bidi w:val="0"/>
        <w:spacing w:line="360" w:lineRule="auto"/>
        <w:ind w:left="0" w:leftChars="0" w:right="0"/>
        <w:rPr>
          <w:rFonts w:hint="eastAsia" w:ascii="宋体" w:hAnsi="宋体" w:eastAsia="宋体" w:cs="宋体"/>
          <w:b/>
          <w:bCs/>
          <w:color w:val="auto"/>
          <w:kern w:val="0"/>
          <w:sz w:val="24"/>
          <w:szCs w:val="24"/>
          <w:highlight w:val="none"/>
        </w:rPr>
      </w:pPr>
    </w:p>
    <w:p w14:paraId="29431BE6">
      <w:pPr>
        <w:keepNext w:val="0"/>
        <w:keepLines w:val="0"/>
        <w:pageBreakBefore w:val="0"/>
        <w:wordWrap/>
        <w:overflowPunct/>
        <w:bidi w:val="0"/>
        <w:spacing w:line="360" w:lineRule="auto"/>
        <w:ind w:left="0" w:leftChars="0" w:right="0"/>
        <w:rPr>
          <w:rFonts w:hint="eastAsia" w:ascii="宋体" w:hAnsi="宋体" w:eastAsia="宋体" w:cs="宋体"/>
          <w:b/>
          <w:bCs/>
          <w:color w:val="auto"/>
          <w:kern w:val="0"/>
          <w:sz w:val="24"/>
          <w:szCs w:val="24"/>
          <w:highlight w:val="none"/>
        </w:rPr>
      </w:pPr>
    </w:p>
    <w:bookmarkEnd w:id="10"/>
    <w:p w14:paraId="55E1DB95">
      <w:pPr>
        <w:pStyle w:val="15"/>
        <w:keepNext w:val="0"/>
        <w:keepLines w:val="0"/>
        <w:pageBreakBefore w:val="0"/>
        <w:wordWrap/>
        <w:overflowPunct/>
        <w:bidi w:val="0"/>
        <w:spacing w:line="360" w:lineRule="auto"/>
        <w:ind w:left="0" w:leftChars="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九、联系方式</w:t>
      </w:r>
    </w:p>
    <w:p w14:paraId="359D8857">
      <w:pPr>
        <w:pStyle w:val="15"/>
        <w:keepNext w:val="0"/>
        <w:keepLines w:val="0"/>
        <w:pageBreakBefore w:val="0"/>
        <w:wordWrap/>
        <w:overflowPunct/>
        <w:bidi w:val="0"/>
        <w:spacing w:line="360" w:lineRule="auto"/>
        <w:ind w:left="5520" w:leftChars="0" w:right="0" w:hanging="5520" w:hangingChars="23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招标人：武进高新技术产业开发区创新发展中心</w:t>
      </w:r>
      <w:r>
        <w:rPr>
          <w:rFonts w:hint="eastAsia" w:ascii="宋体" w:hAnsi="宋体" w:eastAsia="宋体" w:cs="宋体"/>
          <w:b w:val="0"/>
          <w:bCs w:val="0"/>
          <w:color w:val="auto"/>
          <w:kern w:val="0"/>
          <w:sz w:val="24"/>
          <w:szCs w:val="24"/>
          <w:highlight w:val="none"/>
        </w:rPr>
        <w:tab/>
      </w:r>
      <w:r>
        <w:rPr>
          <w:rFonts w:hint="eastAsia" w:ascii="宋体" w:hAnsi="宋体" w:eastAsia="宋体" w:cs="宋体"/>
          <w:b w:val="0"/>
          <w:bCs w:val="0"/>
          <w:color w:val="auto"/>
          <w:kern w:val="0"/>
          <w:sz w:val="24"/>
          <w:szCs w:val="24"/>
          <w:highlight w:val="none"/>
        </w:rPr>
        <w:t>招标代理机构：常州嘉威建设项目管理</w:t>
      </w:r>
      <w:r>
        <w:rPr>
          <w:rFonts w:hint="eastAsia" w:ascii="宋体" w:hAnsi="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有限公司</w:t>
      </w:r>
    </w:p>
    <w:p w14:paraId="1AE2B387">
      <w:pPr>
        <w:pStyle w:val="15"/>
        <w:keepNext w:val="0"/>
        <w:keepLines w:val="0"/>
        <w:pageBreakBefore w:val="0"/>
        <w:wordWrap/>
        <w:overflowPunct/>
        <w:bidi w:val="0"/>
        <w:spacing w:line="360" w:lineRule="auto"/>
        <w:ind w:left="0" w:leftChars="0" w:right="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地址：武进高新技术产业开发区海湖路特1-3号</w:t>
      </w:r>
      <w:r>
        <w:rPr>
          <w:rFonts w:hint="eastAsia" w:ascii="宋体" w:hAnsi="宋体" w:eastAsia="宋体" w:cs="宋体"/>
          <w:b w:val="0"/>
          <w:bCs w:val="0"/>
          <w:color w:val="auto"/>
          <w:kern w:val="0"/>
          <w:sz w:val="24"/>
          <w:szCs w:val="24"/>
          <w:highlight w:val="none"/>
        </w:rPr>
        <w:tab/>
      </w:r>
      <w:r>
        <w:rPr>
          <w:rFonts w:hint="eastAsia" w:ascii="宋体" w:hAnsi="宋体" w:eastAsia="宋体" w:cs="宋体"/>
          <w:b w:val="0"/>
          <w:bCs w:val="0"/>
          <w:color w:val="auto"/>
          <w:kern w:val="0"/>
          <w:sz w:val="24"/>
          <w:szCs w:val="24"/>
          <w:highlight w:val="none"/>
        </w:rPr>
        <w:t>地址：常州市钟楼区西河沿51号创客大厦</w:t>
      </w:r>
    </w:p>
    <w:p w14:paraId="4C9C9EF0">
      <w:pPr>
        <w:pStyle w:val="15"/>
        <w:keepNext w:val="0"/>
        <w:keepLines w:val="0"/>
        <w:pageBreakBefore w:val="0"/>
        <w:wordWrap/>
        <w:overflowPunct/>
        <w:bidi w:val="0"/>
        <w:spacing w:line="360" w:lineRule="auto"/>
        <w:ind w:left="0" w:leftChars="0" w:right="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邮编：213100</w:t>
      </w:r>
      <w:r>
        <w:rPr>
          <w:rFonts w:hint="eastAsia" w:ascii="宋体" w:hAnsi="宋体" w:eastAsia="宋体" w:cs="宋体"/>
          <w:b w:val="0"/>
          <w:bCs w:val="0"/>
          <w:color w:val="auto"/>
          <w:kern w:val="0"/>
          <w:sz w:val="24"/>
          <w:szCs w:val="24"/>
          <w:highlight w:val="none"/>
        </w:rPr>
        <w:tab/>
      </w:r>
      <w:r>
        <w:rPr>
          <w:rFonts w:hint="eastAsia" w:ascii="宋体" w:hAnsi="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邮编：213000</w:t>
      </w:r>
    </w:p>
    <w:p w14:paraId="0258119A">
      <w:pPr>
        <w:pStyle w:val="15"/>
        <w:keepNext w:val="0"/>
        <w:keepLines w:val="0"/>
        <w:pageBreakBefore w:val="0"/>
        <w:wordWrap/>
        <w:overflowPunct/>
        <w:bidi w:val="0"/>
        <w:spacing w:line="360" w:lineRule="auto"/>
        <w:ind w:left="0" w:leftChars="0" w:right="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联系人：史工</w:t>
      </w:r>
      <w:r>
        <w:rPr>
          <w:rFonts w:hint="eastAsia" w:ascii="宋体" w:hAnsi="宋体" w:eastAsia="宋体" w:cs="宋体"/>
          <w:b w:val="0"/>
          <w:bCs w:val="0"/>
          <w:color w:val="auto"/>
          <w:kern w:val="0"/>
          <w:sz w:val="24"/>
          <w:szCs w:val="24"/>
          <w:highlight w:val="none"/>
        </w:rPr>
        <w:tab/>
      </w:r>
      <w:r>
        <w:rPr>
          <w:rFonts w:hint="eastAsia" w:ascii="宋体" w:hAnsi="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联系人：徐工</w:t>
      </w:r>
    </w:p>
    <w:p w14:paraId="26695075">
      <w:pPr>
        <w:pStyle w:val="15"/>
        <w:keepNext w:val="0"/>
        <w:keepLines w:val="0"/>
        <w:pageBreakBefore w:val="0"/>
        <w:wordWrap/>
        <w:overflowPunct/>
        <w:bidi w:val="0"/>
        <w:spacing w:line="360" w:lineRule="auto"/>
        <w:ind w:left="0" w:leftChars="0" w:right="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电话：0519-86220132 </w:t>
      </w:r>
      <w:r>
        <w:rPr>
          <w:rFonts w:hint="eastAsia" w:ascii="宋体" w:hAnsi="宋体" w:eastAsia="宋体" w:cs="宋体"/>
          <w:b w:val="0"/>
          <w:bCs w:val="0"/>
          <w:color w:val="auto"/>
          <w:kern w:val="0"/>
          <w:sz w:val="24"/>
          <w:szCs w:val="24"/>
          <w:highlight w:val="none"/>
        </w:rPr>
        <w:tab/>
      </w:r>
      <w:r>
        <w:rPr>
          <w:rFonts w:hint="eastAsia" w:ascii="宋体" w:hAnsi="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 xml:space="preserve">电话：13082518336(由于工作 </w:t>
      </w:r>
    </w:p>
    <w:p w14:paraId="480753A2">
      <w:pPr>
        <w:pStyle w:val="15"/>
        <w:keepNext w:val="0"/>
        <w:keepLines w:val="0"/>
        <w:pageBreakBefore w:val="0"/>
        <w:wordWrap/>
        <w:overflowPunct/>
        <w:bidi w:val="0"/>
        <w:spacing w:line="360" w:lineRule="auto"/>
        <w:ind w:left="0" w:leftChars="0" w:right="0" w:firstLine="5520" w:firstLineChars="23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需要，以上信息经单位或本人同 </w:t>
      </w:r>
    </w:p>
    <w:p w14:paraId="0A87762C">
      <w:pPr>
        <w:pStyle w:val="15"/>
        <w:keepNext w:val="0"/>
        <w:keepLines w:val="0"/>
        <w:pageBreakBefore w:val="0"/>
        <w:wordWrap/>
        <w:overflowPunct/>
        <w:bidi w:val="0"/>
        <w:spacing w:line="360" w:lineRule="auto"/>
        <w:ind w:left="0" w:leftChars="0" w:right="0" w:firstLine="5520" w:firstLineChars="23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意对外公布。)</w:t>
      </w:r>
    </w:p>
    <w:p w14:paraId="4BA7FCDC">
      <w:pPr>
        <w:pStyle w:val="15"/>
        <w:keepNext w:val="0"/>
        <w:keepLines w:val="0"/>
        <w:pageBreakBefore w:val="0"/>
        <w:wordWrap/>
        <w:overflowPunct/>
        <w:bidi w:val="0"/>
        <w:spacing w:line="360" w:lineRule="auto"/>
        <w:ind w:left="0" w:leftChars="0" w:right="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传真：/</w:t>
      </w:r>
      <w:r>
        <w:rPr>
          <w:rFonts w:hint="eastAsia" w:ascii="宋体" w:hAnsi="宋体" w:eastAsia="宋体" w:cs="宋体"/>
          <w:b w:val="0"/>
          <w:bCs w:val="0"/>
          <w:color w:val="auto"/>
          <w:kern w:val="0"/>
          <w:sz w:val="24"/>
          <w:szCs w:val="24"/>
          <w:highlight w:val="none"/>
        </w:rPr>
        <w:tab/>
      </w:r>
      <w:r>
        <w:rPr>
          <w:rFonts w:hint="eastAsia" w:ascii="宋体" w:hAnsi="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传真：/</w:t>
      </w:r>
    </w:p>
    <w:p w14:paraId="7FC5AC0D">
      <w:pPr>
        <w:pStyle w:val="15"/>
        <w:keepNext w:val="0"/>
        <w:keepLines w:val="0"/>
        <w:pageBreakBefore w:val="0"/>
        <w:wordWrap/>
        <w:overflowPunct/>
        <w:bidi w:val="0"/>
        <w:spacing w:line="360" w:lineRule="auto"/>
        <w:ind w:left="0" w:leftChars="0" w:right="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电子邮箱：20468326@qq.com</w:t>
      </w:r>
      <w:r>
        <w:rPr>
          <w:rFonts w:hint="eastAsia" w:ascii="宋体" w:hAnsi="宋体" w:eastAsia="宋体" w:cs="宋体"/>
          <w:b w:val="0"/>
          <w:bCs w:val="0"/>
          <w:color w:val="auto"/>
          <w:kern w:val="0"/>
          <w:sz w:val="24"/>
          <w:szCs w:val="24"/>
          <w:highlight w:val="none"/>
        </w:rPr>
        <w:tab/>
      </w:r>
      <w:r>
        <w:rPr>
          <w:rFonts w:hint="eastAsia" w:ascii="宋体" w:hAnsi="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电子邮箱：1418421478@qq.com</w:t>
      </w:r>
    </w:p>
    <w:p w14:paraId="67D0D602">
      <w:pPr>
        <w:pStyle w:val="15"/>
        <w:keepNext w:val="0"/>
        <w:keepLines w:val="0"/>
        <w:pageBreakBefore w:val="0"/>
        <w:wordWrap/>
        <w:overflowPunct/>
        <w:bidi w:val="0"/>
        <w:spacing w:line="360" w:lineRule="auto"/>
        <w:ind w:left="0" w:leftChars="0" w:right="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2024</w:t>
      </w:r>
      <w:r>
        <w:rPr>
          <w:rFonts w:hint="eastAsia" w:ascii="宋体" w:hAnsi="宋体" w:eastAsia="宋体" w:cs="宋体"/>
          <w:color w:val="auto"/>
          <w:kern w:val="0"/>
          <w:sz w:val="24"/>
          <w:szCs w:val="24"/>
          <w:highlight w:val="none"/>
          <w:u w:val="none"/>
        </w:rPr>
        <w:t>年</w:t>
      </w:r>
      <w:r>
        <w:rPr>
          <w:rFonts w:hint="eastAsia" w:ascii="宋体" w:hAnsi="宋体" w:cs="宋体"/>
          <w:color w:val="auto"/>
          <w:sz w:val="24"/>
          <w:szCs w:val="24"/>
          <w:highlight w:val="none"/>
          <w:u w:val="none"/>
          <w:lang w:val="en-US" w:eastAsia="zh-CN"/>
        </w:rPr>
        <w:t>9</w:t>
      </w:r>
      <w:r>
        <w:rPr>
          <w:rFonts w:hint="eastAsia" w:ascii="宋体" w:hAnsi="宋体" w:eastAsia="宋体" w:cs="宋体"/>
          <w:color w:val="auto"/>
          <w:kern w:val="0"/>
          <w:sz w:val="24"/>
          <w:szCs w:val="24"/>
          <w:highlight w:val="none"/>
          <w:u w:val="none"/>
        </w:rPr>
        <w:t>月</w:t>
      </w:r>
      <w:r>
        <w:rPr>
          <w:rFonts w:hint="eastAsia" w:ascii="宋体" w:hAnsi="宋体" w:cs="宋体"/>
          <w:color w:val="auto"/>
          <w:sz w:val="24"/>
          <w:szCs w:val="24"/>
          <w:highlight w:val="none"/>
          <w:u w:val="none"/>
          <w:lang w:val="en-US" w:eastAsia="zh-CN"/>
        </w:rPr>
        <w:t>20</w:t>
      </w:r>
      <w:r>
        <w:rPr>
          <w:rFonts w:hint="eastAsia" w:ascii="宋体" w:hAnsi="宋体" w:eastAsia="宋体" w:cs="宋体"/>
          <w:color w:val="auto"/>
          <w:kern w:val="0"/>
          <w:sz w:val="24"/>
          <w:szCs w:val="24"/>
          <w:highlight w:val="none"/>
        </w:rPr>
        <w:t>日</w:t>
      </w:r>
    </w:p>
    <w:p w14:paraId="595BFCAA">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友情提醒</w:t>
      </w:r>
    </w:p>
    <w:p w14:paraId="0621AD2C">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1、如果您是第一次来常州地区参加电子化投标，请您携带好本企业的相关资料先办理企业信息登记手续。潜在投标人如在投标截止时间前未进行企业信息登记,将导致无法进场交易。</w:t>
      </w:r>
    </w:p>
    <w:p w14:paraId="68BB75FD">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2、本标段为“常州市工程交易系统7.0”项目，需要投标单位在“常州市工程交易系统7.0”（网址： http://gc.czggzy.cn/TPBidder/memberLogin）中注册、维护主体库信息，在开标截止时间前，及时通过“不见面”方式办好企业入库等投标相关事宜（详见常州市公共资源交易平台-交易指南-常州市工程交易系统7.0操作手册），因未能及时了解相关最新信息所引起的投标失误责任自负。</w:t>
      </w:r>
    </w:p>
    <w:p w14:paraId="01265B96">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3、本项目为“不见面”开评标，开评标时各投标人无需到开评标现场，投标人可使用“不见面开标大厅系统V2.0”（网址：http://gc.czggzy.cn/BidOpeningSJ/bidopeninghallaction/hall/login）进行相关操作。</w:t>
      </w:r>
    </w:p>
    <w:p w14:paraId="005B50A4">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4、投标人可以登录“常州市工程交易系统7.0”（网址： http://gc.czggzy.cn/TPBidder/memberLogin）进行招标文件（工程量清单、图纸）的下载、招标控制价的下载、招投标答疑，同时应时刻关注常州市公共资源交易平台“招标变更公告”栏目，查阅本次招投标可能存在的“重发公告、开标暂停、延期、终止”等相关信息，因未能及时了解相关最新信息所引起的投标失误责任自负。</w:t>
      </w:r>
    </w:p>
    <w:p w14:paraId="7B222DF2">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5、投标人对招标公告及文件如有异议请联系招标人或招标代理机构。</w:t>
      </w:r>
    </w:p>
    <w:p w14:paraId="2B29A550">
      <w:pPr>
        <w:keepNext w:val="0"/>
        <w:keepLines w:val="0"/>
        <w:pageBreakBefore w:val="0"/>
        <w:wordWrap/>
        <w:overflowPunct/>
        <w:bidi w:val="0"/>
        <w:spacing w:line="360" w:lineRule="auto"/>
        <w:ind w:left="0" w:leftChars="0" w:right="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附件一</w:t>
      </w:r>
    </w:p>
    <w:p w14:paraId="2BC2710E">
      <w:pPr>
        <w:keepNext w:val="0"/>
        <w:keepLines w:val="0"/>
        <w:pageBreakBefore w:val="0"/>
        <w:wordWrap/>
        <w:overflowPunct/>
        <w:bidi w:val="0"/>
        <w:spacing w:line="360" w:lineRule="auto"/>
        <w:ind w:left="0" w:leftChars="0" w:right="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投标保证金（或投标保函或保单）说明</w:t>
      </w:r>
    </w:p>
    <w:p w14:paraId="157375CB">
      <w:pPr>
        <w:keepNext w:val="0"/>
        <w:keepLines w:val="0"/>
        <w:pageBreakBefore w:val="0"/>
        <w:wordWrap/>
        <w:overflowPunct/>
        <w:bidi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递交投标文件的同时，应按招标文件中“投标人须知前附表”规定的金额递交投标保证金（或投标保函或保单）。联合体投标的，其投标保证金（或投标保函或保单）由牵头人递交，并应符合招标文件中“投标人须知前附表”的规定。投标人应充分考虑投标保证金（或投标保函或保单）在途时间，确保投标保证金（或投标保函或保单）在投标截止时间前达到。如投标人未按招标文件要求提供投标保证金（或投标保函或保单）的，将作为无效投标文件，不得进入后续评标程序。</w:t>
      </w:r>
    </w:p>
    <w:p w14:paraId="08290995">
      <w:pPr>
        <w:keepNext w:val="0"/>
        <w:keepLines w:val="0"/>
        <w:pageBreakBefore w:val="0"/>
        <w:wordWrap/>
        <w:overflowPunct/>
        <w:bidi w:val="0"/>
        <w:spacing w:line="360" w:lineRule="auto"/>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2、投标保证金（或投标保函或保单）递交的要求如下：</w:t>
      </w:r>
    </w:p>
    <w:p w14:paraId="6FB4E93F">
      <w:pPr>
        <w:keepNext w:val="0"/>
        <w:keepLines w:val="0"/>
        <w:pageBreakBefore w:val="0"/>
        <w:wordWrap/>
        <w:overflowPunct/>
        <w:bidi w:val="0"/>
        <w:spacing w:line="360" w:lineRule="auto"/>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2.1、投标保证金递交的要求如下：</w:t>
      </w:r>
    </w:p>
    <w:p w14:paraId="20BD2D0D">
      <w:pPr>
        <w:keepNext w:val="0"/>
        <w:keepLines w:val="0"/>
        <w:pageBreakBefore w:val="0"/>
        <w:wordWrap/>
        <w:overflowPunct/>
        <w:bidi w:val="0"/>
        <w:spacing w:line="360" w:lineRule="auto"/>
        <w:ind w:left="0" w:leftChars="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（1）投标保证金专用账户：</w:t>
      </w:r>
    </w:p>
    <w:p w14:paraId="4953B06D">
      <w:pPr>
        <w:keepNext w:val="0"/>
        <w:keepLines w:val="0"/>
        <w:pageBreakBefore w:val="0"/>
        <w:widowControl/>
        <w:wordWrap/>
        <w:overflowPunct/>
        <w:bidi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户名:常州市公共资源交易中心武进分中心</w:t>
      </w:r>
    </w:p>
    <w:p w14:paraId="28A08637">
      <w:pPr>
        <w:keepNext w:val="0"/>
        <w:keepLines w:val="0"/>
        <w:pageBreakBefore w:val="0"/>
        <w:wordWrap/>
        <w:overflowPunct/>
        <w:bidi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账号：32001626759052503209-0723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57D1D7E5">
      <w:pPr>
        <w:keepNext w:val="0"/>
        <w:keepLines w:val="0"/>
        <w:pageBreakBefore w:val="0"/>
        <w:widowControl/>
        <w:wordWrap/>
        <w:overflowPunct/>
        <w:bidi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开户银行：常州建行丰乐支行</w:t>
      </w:r>
    </w:p>
    <w:p w14:paraId="04ABBF27">
      <w:pPr>
        <w:keepNext w:val="0"/>
        <w:keepLines w:val="0"/>
        <w:pageBreakBefore w:val="0"/>
        <w:wordWrap/>
        <w:overflowPunct/>
        <w:bidi w:val="0"/>
        <w:spacing w:line="360" w:lineRule="auto"/>
        <w:ind w:left="0" w:leftChars="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（2）投标保证金金额：</w:t>
      </w:r>
    </w:p>
    <w:p w14:paraId="767CEF5E">
      <w:pPr>
        <w:keepNext w:val="0"/>
        <w:keepLines w:val="0"/>
        <w:pageBreakBefore w:val="0"/>
        <w:wordWrap/>
        <w:overflowPunct/>
        <w:bidi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每单位人民币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p w14:paraId="28F25485">
      <w:pPr>
        <w:keepNext w:val="0"/>
        <w:keepLines w:val="0"/>
        <w:pageBreakBefore w:val="0"/>
        <w:wordWrap/>
        <w:overflowPunct/>
        <w:bidi w:val="0"/>
        <w:spacing w:line="360" w:lineRule="auto"/>
        <w:ind w:left="0" w:leftChars="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（3）投标保证金递交方式：</w:t>
      </w:r>
    </w:p>
    <w:p w14:paraId="6989DF12">
      <w:pPr>
        <w:keepNext w:val="0"/>
        <w:keepLines w:val="0"/>
        <w:pageBreakBefore w:val="0"/>
        <w:wordWrap/>
        <w:overflowPunct/>
        <w:bidi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投标单位必须在投标截止时间前将投标保证金从企业基本账户缴入投标保证金专用账户且必须全额到账。</w:t>
      </w:r>
    </w:p>
    <w:p w14:paraId="484D94CE">
      <w:pPr>
        <w:keepNext w:val="0"/>
        <w:keepLines w:val="0"/>
        <w:pageBreakBefore w:val="0"/>
        <w:wordWrap/>
        <w:overflowPunct/>
        <w:bidi w:val="0"/>
        <w:spacing w:line="360" w:lineRule="auto"/>
        <w:ind w:left="0" w:leftChars="0" w:right="0" w:firstLine="46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2.2、投标保函（或保单）递交的要求如下：</w:t>
      </w:r>
    </w:p>
    <w:p w14:paraId="17801DDE">
      <w:pPr>
        <w:keepNext w:val="0"/>
        <w:keepLines w:val="0"/>
        <w:pageBreakBefore w:val="0"/>
        <w:wordWrap/>
        <w:overflowPunct/>
        <w:bidi w:val="0"/>
        <w:spacing w:line="360" w:lineRule="auto"/>
        <w:ind w:left="0" w:leftChars="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（1）投标保函（或保单）担保金额：</w:t>
      </w:r>
    </w:p>
    <w:p w14:paraId="3C42E6D5">
      <w:pPr>
        <w:keepNext w:val="0"/>
        <w:keepLines w:val="0"/>
        <w:pageBreakBefore w:val="0"/>
        <w:wordWrap/>
        <w:overflowPunct/>
        <w:bidi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每单位人民币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p w14:paraId="5C913C49">
      <w:pPr>
        <w:keepNext w:val="0"/>
        <w:keepLines w:val="0"/>
        <w:pageBreakBefore w:val="0"/>
        <w:wordWrap/>
        <w:overflowPunct/>
        <w:bidi w:val="0"/>
        <w:spacing w:line="360" w:lineRule="auto"/>
        <w:ind w:left="0" w:leftChars="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（2）投标保函（或保单）递交方式：</w:t>
      </w:r>
    </w:p>
    <w:p w14:paraId="5D95DA3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具体要求请仔细阅读常州市公共资源交易平台“通知公告”栏目中的《关于调整投标保函相关工作的通知》( 网 址 ：http://ggzy.xzsp.changzhou.gov.cn/tzgg/20231115/1746acba-0cad-4e95-b8c8-a28aa37e900a.html）</w:t>
      </w:r>
    </w:p>
    <w:p w14:paraId="4EB5F9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投标保证金（或投标保函或保单）的退还：非排名前三名的投标人的保证金（或投标保函或保单），在评标结果公示无异议后五个工作日内退还；排名前三名的中标候选人的投标保证金（或投标保函或保单），在招标人与中标人签订书面合同并归集后五日内退还；若招标人与中标人在中标通知书发出三十日内仍未订立书面合同的，排名第二、第三的中标候选人的保证金或投标保函可予以退还。投标保证金退还含投标保证金本金及银行同期存款利息。</w:t>
      </w:r>
    </w:p>
    <w:p w14:paraId="24E9C93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4、本项目接受投标人使用信用承诺替代投标保证金，如采用信用承诺替代投标保证金的，需提供《投标保证金信用承诺书》</w:t>
      </w:r>
      <w:r>
        <w:rPr>
          <w:rFonts w:hint="eastAsia" w:ascii="宋体" w:hAnsi="宋体"/>
          <w:color w:val="auto"/>
          <w:sz w:val="24"/>
          <w:highlight w:val="none"/>
          <w:lang w:val="en-US" w:eastAsia="zh-CN"/>
        </w:rPr>
        <w:t>（格式详见附件七）</w:t>
      </w:r>
      <w:r>
        <w:rPr>
          <w:rFonts w:hint="eastAsia" w:ascii="宋体" w:hAnsi="宋体"/>
          <w:color w:val="auto"/>
          <w:sz w:val="24"/>
          <w:highlight w:val="none"/>
        </w:rPr>
        <w:t>。使用信用承诺替代投标保证金的投标人未递交《投标保证金信用承诺书》或内容不完整的，视为未递交投标保证金。不使用信用承诺替代投标保证金的投标人未按招标文件要求提供投标保函（保单）或者递交投标保证金的，作为无效投标文件，不得进入评标。</w:t>
      </w:r>
    </w:p>
    <w:p w14:paraId="438CEB2F">
      <w:pPr>
        <w:keepNext w:val="0"/>
        <w:keepLines w:val="0"/>
        <w:pageBreakBefore w:val="0"/>
        <w:wordWrap/>
        <w:overflowPunct/>
        <w:bidi w:val="0"/>
        <w:spacing w:line="360" w:lineRule="auto"/>
        <w:ind w:left="0" w:leftChars="0" w:right="0" w:firstLine="482" w:firstLineChars="200"/>
        <w:rPr>
          <w:rFonts w:hint="eastAsia" w:ascii="宋体" w:hAnsi="宋体" w:eastAsia="宋体" w:cs="宋体"/>
          <w:b/>
          <w:color w:val="auto"/>
          <w:sz w:val="24"/>
          <w:szCs w:val="24"/>
          <w:highlight w:val="none"/>
        </w:rPr>
      </w:pPr>
      <w:r>
        <w:rPr>
          <w:rFonts w:hint="eastAsia" w:ascii="宋体" w:hAnsi="宋体"/>
          <w:b/>
          <w:bCs/>
          <w:color w:val="auto"/>
          <w:sz w:val="24"/>
          <w:highlight w:val="none"/>
        </w:rPr>
        <w:t>5、</w:t>
      </w:r>
      <w:r>
        <w:rPr>
          <w:rFonts w:hint="eastAsia" w:ascii="宋体" w:hAnsi="宋体"/>
          <w:b/>
          <w:color w:val="auto"/>
          <w:sz w:val="24"/>
          <w:highlight w:val="none"/>
        </w:rPr>
        <w:t>投标保证金缴纳咨询电话：0519-88068636。</w:t>
      </w:r>
    </w:p>
    <w:p w14:paraId="5BEC95D2">
      <w:pPr>
        <w:keepNext w:val="0"/>
        <w:keepLines w:val="0"/>
        <w:pageBreakBefore w:val="0"/>
        <w:wordWrap/>
        <w:overflowPunct/>
        <w:bidi w:val="0"/>
        <w:spacing w:line="360" w:lineRule="auto"/>
        <w:ind w:left="0" w:leftChars="0" w:right="0"/>
        <w:rPr>
          <w:rFonts w:hint="eastAsia" w:ascii="宋体" w:hAnsi="宋体" w:eastAsia="宋体" w:cs="宋体"/>
          <w:b/>
          <w:color w:val="auto"/>
          <w:sz w:val="24"/>
          <w:szCs w:val="24"/>
          <w:highlight w:val="none"/>
        </w:rPr>
      </w:pPr>
    </w:p>
    <w:p w14:paraId="2894E37C">
      <w:pPr>
        <w:keepNext w:val="0"/>
        <w:keepLines w:val="0"/>
        <w:pageBreakBefore w:val="0"/>
        <w:wordWrap/>
        <w:overflowPunct/>
        <w:bidi w:val="0"/>
        <w:spacing w:line="360" w:lineRule="auto"/>
        <w:ind w:left="0" w:leftChars="0" w:right="0"/>
        <w:rPr>
          <w:rFonts w:hint="eastAsia" w:ascii="宋体" w:hAnsi="宋体" w:eastAsia="宋体" w:cs="宋体"/>
          <w:b/>
          <w:color w:val="auto"/>
          <w:sz w:val="24"/>
          <w:szCs w:val="24"/>
          <w:highlight w:val="none"/>
        </w:rPr>
        <w:sectPr>
          <w:headerReference r:id="rId3" w:type="default"/>
          <w:pgSz w:w="11906" w:h="16838"/>
          <w:pgMar w:top="1134" w:right="1134" w:bottom="1134" w:left="1134" w:header="851" w:footer="992" w:gutter="0"/>
          <w:cols w:space="425" w:num="1"/>
          <w:docGrid w:type="lines" w:linePitch="312" w:charSpace="0"/>
        </w:sectPr>
      </w:pPr>
    </w:p>
    <w:p w14:paraId="463E7C61">
      <w:pPr>
        <w:keepNext w:val="0"/>
        <w:keepLines w:val="0"/>
        <w:pageBreakBefore w:val="0"/>
        <w:wordWrap/>
        <w:overflowPunct/>
        <w:bidi w:val="0"/>
        <w:spacing w:line="360" w:lineRule="auto"/>
        <w:ind w:left="0" w:leftChars="0" w:right="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附件二</w:t>
      </w:r>
    </w:p>
    <w:p w14:paraId="7505032C">
      <w:pPr>
        <w:keepNext w:val="0"/>
        <w:keepLines w:val="0"/>
        <w:pageBreakBefore w:val="0"/>
        <w:wordWrap/>
        <w:overflowPunct/>
        <w:bidi w:val="0"/>
        <w:spacing w:line="360" w:lineRule="auto"/>
        <w:ind w:left="0" w:leftChars="0" w:right="0" w:firstLine="321" w:firstLineChars="10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资格审查办法</w:t>
      </w:r>
    </w:p>
    <w:p w14:paraId="5869BEE0">
      <w:pPr>
        <w:keepNext w:val="0"/>
        <w:keepLines w:val="0"/>
        <w:pageBreakBefore w:val="0"/>
        <w:wordWrap/>
        <w:overflowPunct/>
        <w:bidi w:val="0"/>
        <w:spacing w:line="360" w:lineRule="auto"/>
        <w:ind w:left="0" w:leftChars="0" w:right="0"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一、本工程采用</w:t>
      </w:r>
      <w:r>
        <w:rPr>
          <w:rFonts w:hint="eastAsia" w:ascii="宋体" w:hAnsi="宋体" w:eastAsia="宋体" w:cs="宋体"/>
          <w:b/>
          <w:color w:val="auto"/>
          <w:sz w:val="24"/>
          <w:szCs w:val="24"/>
          <w:highlight w:val="none"/>
          <w:u w:val="single"/>
        </w:rPr>
        <w:t>资格后审</w:t>
      </w:r>
      <w:r>
        <w:rPr>
          <w:rFonts w:hint="eastAsia" w:ascii="宋体" w:hAnsi="宋体" w:eastAsia="宋体" w:cs="宋体"/>
          <w:color w:val="auto"/>
          <w:sz w:val="24"/>
          <w:szCs w:val="24"/>
          <w:highlight w:val="none"/>
        </w:rPr>
        <w:t>对投标人进行资格审查。</w:t>
      </w:r>
    </w:p>
    <w:p w14:paraId="76D7D216">
      <w:pPr>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二、本工程资格审查合格条件：</w:t>
      </w:r>
    </w:p>
    <w:p w14:paraId="536584DD">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（一）投标人资格审查合格条件：</w:t>
      </w:r>
    </w:p>
    <w:p w14:paraId="709FB24B">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1.具有独立订立合同的能力；</w:t>
      </w:r>
    </w:p>
    <w:p w14:paraId="0F461EA2">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2.企业的资质类别、等级和</w:t>
      </w:r>
      <w:r>
        <w:rPr>
          <w:rFonts w:hint="eastAsia" w:ascii="宋体" w:hAnsi="宋体" w:eastAsia="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注册专业、资格等级符合国家有关规定；</w:t>
      </w:r>
    </w:p>
    <w:p w14:paraId="2ACC85A4">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3.以联合体形式投标的，联合体的资格（资质）条件必须符合资格审查文件或招标文件要求，并附有共同投标协议；</w:t>
      </w:r>
    </w:p>
    <w:p w14:paraId="28D80CAE">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4.投标文件中的资格审查资料没有失真或者弄虚作假；</w:t>
      </w:r>
    </w:p>
    <w:p w14:paraId="19A04E46">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5.投标人不得存在下列情形之一：</w:t>
      </w:r>
    </w:p>
    <w:p w14:paraId="4DEC24B2">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14:paraId="1BE97E8C">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（2）为本招标项目的</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、代建人、项目管理人，以及为本招标项目提供招标代理、设计服务的；</w:t>
      </w:r>
    </w:p>
    <w:p w14:paraId="0BA8476C">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、代建人、招标代理机构同为一个法定代表人的，或者相互控股、参股的；</w:t>
      </w:r>
    </w:p>
    <w:p w14:paraId="29C5D92D">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（4）与招标人存在利害关系可能影响招标公正性的；</w:t>
      </w:r>
    </w:p>
    <w:p w14:paraId="3B1EC1B3">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（5）单位负责人为同一人或者存在控股、管理关系的不同单位；</w:t>
      </w:r>
    </w:p>
    <w:p w14:paraId="3A64893F">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（6）处于被责令停业、财产被接管、冻结和破产状态，以及投标资格被取消或者被暂停且在暂停期内；</w:t>
      </w:r>
    </w:p>
    <w:p w14:paraId="2282CA2D">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（7）因拖欠工人工资或者因发生质量安全事故被有关部门限制在招标项目所在地承接工程；</w:t>
      </w:r>
    </w:p>
    <w:p w14:paraId="7E2E5E3D">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（8）投标人自 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 1 日有行贿犯罪行为且被记录，或者法定代表人有行贿犯罪记录且自记录之日起未超过 5 年的。(采用信用承诺方式由投标人自行承诺，格式详见《投标人</w:t>
      </w:r>
      <w:r>
        <w:rPr>
          <w:rFonts w:hint="eastAsia" w:ascii="宋体" w:hAnsi="宋体" w:eastAsia="宋体" w:cs="宋体"/>
          <w:color w:val="auto"/>
          <w:sz w:val="24"/>
          <w:szCs w:val="24"/>
          <w:highlight w:val="none"/>
          <w:lang w:val="en-US" w:eastAsia="zh-CN"/>
        </w:rPr>
        <w:t>信用</w:t>
      </w:r>
      <w:r>
        <w:rPr>
          <w:rFonts w:hint="eastAsia" w:ascii="宋体" w:hAnsi="宋体" w:eastAsia="宋体" w:cs="宋体"/>
          <w:color w:val="auto"/>
          <w:sz w:val="24"/>
          <w:szCs w:val="24"/>
          <w:highlight w:val="none"/>
        </w:rPr>
        <w:t>承诺书》)</w:t>
      </w:r>
    </w:p>
    <w:p w14:paraId="31808385">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6.投标人在招投标活动中存在违法违规和不良行为被招投标监管机构在“江苏建设工程招标网”等指定媒介上公示且在公示期限内的，本项目的招标人拒绝其投标。</w:t>
      </w:r>
    </w:p>
    <w:p w14:paraId="4AB857AF">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(二)拟派总监理工程师资格审查合格条件：</w:t>
      </w:r>
    </w:p>
    <w:p w14:paraId="272CE379">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投标人拟派总监理工程师不得同时在两个或者两个以上单位受聘或者执业：</w:t>
      </w:r>
    </w:p>
    <w:p w14:paraId="599D2C9A">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2.投标人拟派总监理工程师不得同时在其他建设工程监理合同中担任监理人员</w:t>
      </w:r>
      <w:r>
        <w:rPr>
          <w:rFonts w:hint="eastAsia" w:ascii="宋体" w:hAnsi="宋体" w:eastAsia="宋体" w:cs="宋体"/>
          <w:color w:val="auto"/>
          <w:sz w:val="24"/>
          <w:szCs w:val="24"/>
          <w:lang w:val="en-US" w:eastAsia="zh-CN" w:bidi="ar-SA"/>
        </w:rPr>
        <w:t>（含总监理工程师）；</w:t>
      </w:r>
    </w:p>
    <w:p w14:paraId="0772AC81">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拟派总监理工程师无行贿犯罪行为记录；或者有行贿犯罪行为记录，但自记录之日起已超过 5 年的(采用信用承诺方式由投标人自行承诺，格式详见《投标人</w:t>
      </w:r>
      <w:r>
        <w:rPr>
          <w:rFonts w:hint="eastAsia" w:ascii="宋体" w:hAnsi="宋体" w:eastAsia="宋体" w:cs="宋体"/>
          <w:color w:val="auto"/>
          <w:sz w:val="24"/>
          <w:szCs w:val="24"/>
          <w:highlight w:val="none"/>
          <w:lang w:val="en-US" w:eastAsia="zh-CN"/>
        </w:rPr>
        <w:t>信用</w:t>
      </w:r>
      <w:r>
        <w:rPr>
          <w:rFonts w:hint="eastAsia" w:ascii="宋体" w:hAnsi="宋体" w:eastAsia="宋体" w:cs="宋体"/>
          <w:color w:val="auto"/>
          <w:sz w:val="24"/>
          <w:szCs w:val="24"/>
          <w:highlight w:val="none"/>
        </w:rPr>
        <w:t>承诺书》)。</w:t>
      </w:r>
    </w:p>
    <w:p w14:paraId="57499500">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(三)资格审查合格其他条件：</w:t>
      </w:r>
    </w:p>
    <w:p w14:paraId="612ED11E">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1.投标人或项目负责人类似工程业绩要求:/。</w:t>
      </w:r>
    </w:p>
    <w:p w14:paraId="5657DC41">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2.投标人拟派监理人员（总监理工程师除外）不得同时在其他建设工程监理合同中担任总监理工程师及其他监理人员。</w:t>
      </w:r>
    </w:p>
    <w:p w14:paraId="226E2412">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（四）特别提醒：</w:t>
      </w:r>
    </w:p>
    <w:p w14:paraId="0632C55A">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1.投标人在招投标活动中存在以下行为的，招投标监管机构将在“江苏建设工程招标网”等指定媒介进行公示，在公示期间，其他国有投资项目的招标人可以在招标文件中明确拒绝其投标。</w:t>
      </w:r>
    </w:p>
    <w:p w14:paraId="2DDC26CA">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1.1投标人在招投标活动中违反法律法规和规章规定受到行政处罚的，公示不少于3个月。</w:t>
      </w:r>
    </w:p>
    <w:p w14:paraId="2D5F99A6">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1.2投标人在招投标活动中出现如下失信行为，公示1-3个月：</w:t>
      </w:r>
    </w:p>
    <w:p w14:paraId="3E5FD432">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（1）除不可抗力的外，资格预审合格的投标人无故不获取招标文件或者获取招标文件后放弃投标，或者投标人在投标截止后无故撤销投标文件等，公示2个月；</w:t>
      </w:r>
    </w:p>
    <w:p w14:paraId="2101D5E2">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（2）递交无竞争力的投标文件的（无竞争力投标是指不以中标为目的的投标，包括企业资质类别、等级和</w:t>
      </w:r>
      <w:r>
        <w:rPr>
          <w:rFonts w:hint="eastAsia" w:ascii="宋体" w:hAnsi="宋体" w:eastAsia="宋体" w:cs="宋体"/>
          <w:b/>
          <w:color w:val="auto"/>
          <w:sz w:val="24"/>
          <w:szCs w:val="24"/>
          <w:highlight w:val="none"/>
          <w:lang w:eastAsia="zh-CN"/>
        </w:rPr>
        <w:t>总监理工程师</w:t>
      </w:r>
      <w:r>
        <w:rPr>
          <w:rFonts w:hint="eastAsia" w:ascii="宋体" w:hAnsi="宋体" w:eastAsia="宋体" w:cs="宋体"/>
          <w:b/>
          <w:color w:val="auto"/>
          <w:sz w:val="24"/>
          <w:szCs w:val="24"/>
          <w:highlight w:val="none"/>
        </w:rPr>
        <w:t>注册专业、资格等级不符合招标文件要求、投标报价畸高、 投标文件故意漏项缺项、</w:t>
      </w:r>
      <w:r>
        <w:rPr>
          <w:rFonts w:hint="eastAsia" w:ascii="宋体" w:hAnsi="宋体" w:eastAsia="宋体" w:cs="宋体"/>
          <w:b/>
          <w:color w:val="auto"/>
          <w:sz w:val="24"/>
          <w:szCs w:val="24"/>
          <w:highlight w:val="none"/>
          <w:lang w:val="en-US" w:eastAsia="zh-CN"/>
        </w:rPr>
        <w:t>监理大纲</w:t>
      </w:r>
      <w:r>
        <w:rPr>
          <w:rFonts w:hint="eastAsia" w:ascii="宋体" w:hAnsi="宋体" w:eastAsia="Times New Roman" w:cs="Times New Roman"/>
          <w:b/>
          <w:color w:val="auto"/>
          <w:sz w:val="24"/>
          <w:szCs w:val="24"/>
          <w:lang w:val="en-US" w:eastAsia="zh-CN" w:bidi="ar-SA"/>
        </w:rPr>
        <w:t>文件</w:t>
      </w:r>
      <w:r>
        <w:rPr>
          <w:rFonts w:hint="eastAsia" w:ascii="宋体" w:hAnsi="宋体" w:eastAsia="宋体" w:cs="宋体"/>
          <w:b/>
          <w:color w:val="auto"/>
          <w:sz w:val="24"/>
          <w:szCs w:val="24"/>
          <w:highlight w:val="none"/>
        </w:rPr>
        <w:t>不符合篇幅要求、以及故意违反招标文件中已醒目标识的无效投标条款且事先未质疑、有业绩要求未提供业绩或提供明显与招标文件招标公告要求不符的业绩参与投标的等情形），公示1个月；</w:t>
      </w:r>
    </w:p>
    <w:p w14:paraId="29743EB1">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（3）企业一年内4次在全省投诉反映情况不属实，缺乏事实或法律依据的，公示1个月；</w:t>
      </w:r>
    </w:p>
    <w:p w14:paraId="082DB9E2">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（4）投诉人故意捏造事实、伪造证明材料的，或者以非法手段取得证明材料等进行恶意投诉的，公示3个月。</w:t>
      </w:r>
    </w:p>
    <w:p w14:paraId="55362669">
      <w:pPr>
        <w:keepNext w:val="0"/>
        <w:keepLines w:val="0"/>
        <w:pageBreakBefore w:val="0"/>
        <w:kinsoku/>
        <w:wordWrap/>
        <w:overflowPunct/>
        <w:topLinePunct w:val="0"/>
        <w:autoSpaceDE w:val="0"/>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2.根据相关文件的要求，监理合同归集时，总监理工程师随招投标系统自动导入合同归集系统，其他关键岗位人员需在企业已注册（或备案）的人员库中勾选后自动生成。（重要提醒：投标人请慎重考虑项目部门关键岗位人员的安排，确保监理合同按时归集，否则产生的后果自行承担）。</w:t>
      </w:r>
    </w:p>
    <w:p w14:paraId="3C817499">
      <w:pPr>
        <w:keepNext w:val="0"/>
        <w:keepLines w:val="0"/>
        <w:pageBreakBefore w:val="0"/>
        <w:kinsoku/>
        <w:wordWrap/>
        <w:overflowPunct/>
        <w:topLinePunct w:val="0"/>
        <w:autoSpaceDE w:val="0"/>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3.投标人或者其他利害关系人对评标结果有异议的，应当在评标结果公示期间向招标人提出异议。对所有投标人的评标结果的异议应在公示期间提出。</w:t>
      </w:r>
    </w:p>
    <w:p w14:paraId="646EE817">
      <w:pPr>
        <w:keepNext w:val="0"/>
        <w:keepLines w:val="0"/>
        <w:pageBreakBefore w:val="0"/>
        <w:kinsoku/>
        <w:wordWrap/>
        <w:overflowPunct/>
        <w:topLinePunct w:val="0"/>
        <w:autoSpaceDE w:val="0"/>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4.投标人整个招投标活动所提交的所有材料都必须是真实有效的，一旦发现有虚假行为，招标人将立即中止该投标人的投标活动，并上报相关主管部门追究责任。</w:t>
      </w:r>
    </w:p>
    <w:p w14:paraId="2E4B6FE3">
      <w:pPr>
        <w:keepNext w:val="0"/>
        <w:keepLines w:val="0"/>
        <w:pageBreakBefore w:val="0"/>
        <w:kinsoku/>
        <w:wordWrap/>
        <w:overflowPunct/>
        <w:topLinePunct w:val="0"/>
        <w:autoSpaceDE w:val="0"/>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5.投标人存在通过资格预审不获取招标文件、无正当理由放弃投标或者中标资格，或者其他违法违规行为造成招标人重新招标的，不得再参加该项目重新招标的投标，并依法予以处理。</w:t>
      </w:r>
    </w:p>
    <w:p w14:paraId="13628B8E">
      <w:pPr>
        <w:keepNext w:val="0"/>
        <w:keepLines w:val="0"/>
        <w:pageBreakBefore w:val="0"/>
        <w:kinsoku/>
        <w:wordWrap/>
        <w:overflowPunct/>
        <w:topLinePunct w:val="0"/>
        <w:autoSpaceDE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en-US"/>
        </w:rPr>
        <w:t>6.投标人被发现并被证实以他人名义投标、串通投标、弄虚作假、买标卖标、恶意投诉，将被取消投标资格或中标资格，其行为将报有关行政监督部门查处，没收投标保证金并追诉其给招标人造成的损失。</w:t>
      </w:r>
    </w:p>
    <w:p w14:paraId="39A32CEF">
      <w:pPr>
        <w:keepNext w:val="0"/>
        <w:keepLines w:val="0"/>
        <w:pageBreakBefore w:val="0"/>
        <w:kinsoku/>
        <w:wordWrap/>
        <w:overflowPunct/>
        <w:topLinePunct w:val="0"/>
        <w:autoSpaceDE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(五)符合法律、法规规定的其他条件。</w:t>
      </w:r>
    </w:p>
    <w:p w14:paraId="6A6B6CA5">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三、由招标人委托的评标委员会实施对投标人的资格审查。</w:t>
      </w:r>
    </w:p>
    <w:p w14:paraId="40ACDF31">
      <w:pPr>
        <w:pStyle w:val="14"/>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四、资格审查需评审的相关资料：</w:t>
      </w:r>
    </w:p>
    <w:p w14:paraId="2C3CA848">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color w:val="auto"/>
          <w:sz w:val="24"/>
          <w:szCs w:val="24"/>
          <w:highlight w:val="none"/>
          <w:u w:val="none"/>
        </w:rPr>
      </w:pPr>
      <w:r>
        <w:rPr>
          <w:rFonts w:ascii="宋体" w:hAnsi="宋体" w:eastAsia="宋体" w:cs="宋体"/>
          <w:b/>
          <w:bCs/>
          <w:color w:val="auto"/>
          <w:sz w:val="24"/>
          <w:szCs w:val="24"/>
          <w:lang w:val="en-US" w:eastAsia="zh-CN" w:bidi="ar-SA"/>
        </w:rPr>
        <w:t>4.1、</w:t>
      </w:r>
      <w:r>
        <w:rPr>
          <w:rFonts w:hint="eastAsia" w:ascii="宋体" w:hAnsi="宋体" w:eastAsia="宋体" w:cs="宋体"/>
          <w:b/>
          <w:bCs/>
          <w:color w:val="auto"/>
          <w:sz w:val="24"/>
          <w:szCs w:val="24"/>
          <w:u w:val="none"/>
          <w:lang w:val="en-US" w:eastAsia="zh-CN" w:bidi="ar-SA"/>
        </w:rPr>
        <w:t>资格审查需网上审核的资料（必须按要求上传至投标文件）</w:t>
      </w:r>
      <w:r>
        <w:rPr>
          <w:rFonts w:ascii="宋体" w:hAnsi="宋体" w:eastAsia="宋体" w:cs="宋体"/>
          <w:b/>
          <w:bCs/>
          <w:color w:val="auto"/>
          <w:sz w:val="24"/>
          <w:szCs w:val="24"/>
          <w:u w:val="none"/>
          <w:lang w:val="en-US" w:eastAsia="zh-CN" w:bidi="ar-SA"/>
        </w:rPr>
        <w:t>：</w:t>
      </w:r>
    </w:p>
    <w:p w14:paraId="5998D869">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4.1.1、《项目情况及拟投入项目监理部人员承诺书》（格式详见附件四）</w:t>
      </w:r>
    </w:p>
    <w:p w14:paraId="22D8EF1A">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4.1.2、《投标人信用承诺书》（格式详见附件六）</w:t>
      </w:r>
    </w:p>
    <w:p w14:paraId="66BACABB">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4.1.3、《投标保证金信用承诺书》（如有）（格式详见附件七）</w:t>
      </w:r>
    </w:p>
    <w:p w14:paraId="713D2348">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注：①《项目情况及拟投入项目监理部人员承诺书》、《投标人信用承诺书》、《投标保证金信用承诺书》（如有）按要求填写后，由评标委员会核查是否上传至投标文件，未按要求提供作资格审查不合格处理。</w:t>
      </w:r>
    </w:p>
    <w:p w14:paraId="21966C41">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rPr>
        <w:t>②《项目情况及拟投入项目监理部人员承诺书》、《投标人信用承诺书》、《投标保证金信用承诺书》（如有）中可靠的电子签名与手写签名或者盖章具有同等的法律效力。采用可靠的电子签名的《投标人信用承诺书》、《项目情况及拟投入项目监理部人员承诺书》、《投标保证金信用承诺书》（如有）的，投标文件中提供的须为原件；采用手写签名或盖章的《投标人信用承诺书》、《项目情况及拟投入项目监理部人员承诺书》、《投标保证金信用承诺书》（如有）的，投标文件中提供的须为扫描件。</w:t>
      </w:r>
    </w:p>
    <w:p w14:paraId="4922C5A9">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none"/>
          <w:lang w:val="en-US" w:eastAsia="zh-CN"/>
        </w:rPr>
        <w:t>4.2</w:t>
      </w:r>
      <w:r>
        <w:rPr>
          <w:rFonts w:hint="eastAsia" w:ascii="宋体" w:hAnsi="宋体" w:eastAsia="宋体" w:cs="宋体"/>
          <w:b/>
          <w:color w:val="auto"/>
          <w:sz w:val="24"/>
          <w:szCs w:val="24"/>
          <w:highlight w:val="none"/>
          <w:u w:val="none"/>
        </w:rPr>
        <w:t>、资格审查需网上审核的资料</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必须以原件扫描(或电子证照)录入“常州市建设工程交易系统”（7.0 系统）“主体库”</w:t>
      </w:r>
      <w:r>
        <w:rPr>
          <w:rFonts w:hint="eastAsia" w:ascii="宋体" w:hAnsi="宋体" w:eastAsia="宋体" w:cs="宋体"/>
          <w:b/>
          <w:color w:val="auto"/>
          <w:sz w:val="24"/>
          <w:szCs w:val="24"/>
          <w:highlight w:val="none"/>
        </w:rPr>
        <w:t>）：</w:t>
      </w:r>
    </w:p>
    <w:p w14:paraId="6D2F113D">
      <w:pPr>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.1、企业营业执照；</w:t>
      </w:r>
    </w:p>
    <w:p w14:paraId="31EB7FDC">
      <w:pPr>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.2、企业资质等级证书；</w:t>
      </w:r>
    </w:p>
    <w:p w14:paraId="6262AAF8">
      <w:pPr>
        <w:keepNext w:val="0"/>
        <w:keepLines w:val="0"/>
        <w:pageBreakBefore w:val="0"/>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.3、投标总监理工程师注册执业证书；</w:t>
      </w:r>
    </w:p>
    <w:p w14:paraId="4F39605C">
      <w:pPr>
        <w:keepNext w:val="0"/>
        <w:keepLines w:val="0"/>
        <w:pageBreakBefore w:val="0"/>
        <w:tabs>
          <w:tab w:val="left" w:pos="540"/>
          <w:tab w:val="left" w:pos="900"/>
          <w:tab w:val="left" w:pos="1080"/>
        </w:tabs>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5.其他相关要求：</w:t>
      </w:r>
    </w:p>
    <w:p w14:paraId="5E59087A">
      <w:pPr>
        <w:pStyle w:val="14"/>
        <w:keepNext w:val="0"/>
        <w:keepLines w:val="0"/>
        <w:pageBreakBefore w:val="0"/>
        <w:tabs>
          <w:tab w:val="center" w:pos="5095"/>
        </w:tabs>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①以上 4.2 款要求的资格审查资料必须在投标文件“资格审查资料”版块中提供自动链接，未按要求提供自动链接的，作资格审查不合格处理。</w:t>
      </w:r>
    </w:p>
    <w:p w14:paraId="74BC17FA">
      <w:pPr>
        <w:pStyle w:val="14"/>
        <w:keepNext w:val="0"/>
        <w:keepLines w:val="0"/>
        <w:pageBreakBefore w:val="0"/>
        <w:tabs>
          <w:tab w:val="center" w:pos="5095"/>
        </w:tabs>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②投标单位在投标文件“资格审查资料”版块中提供自动链接的资料必须内容、印章完全、清晰可辨且在有效期内。如资格审查资料经评标委员会成员半数以上认定为模糊无法辨认的，作资格审查不合格处理。</w:t>
      </w:r>
    </w:p>
    <w:p w14:paraId="4F3D061B">
      <w:pPr>
        <w:pStyle w:val="14"/>
        <w:keepNext w:val="0"/>
        <w:keepLines w:val="0"/>
        <w:pageBreakBefore w:val="0"/>
        <w:tabs>
          <w:tab w:val="center" w:pos="5095"/>
        </w:tabs>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③资格审查资料未按要求提供自动链接的均不作为资格审查的评审依据。</w:t>
      </w:r>
    </w:p>
    <w:p w14:paraId="79D1DEC5">
      <w:pPr>
        <w:pStyle w:val="14"/>
        <w:keepNext w:val="0"/>
        <w:keepLines w:val="0"/>
        <w:pageBreakBefore w:val="0"/>
        <w:tabs>
          <w:tab w:val="center" w:pos="5095"/>
        </w:tabs>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④投标人务必及时在“常州市工程交易系统”（7.0 系统）“主体库”内完善相关资料，将体现证件有效期、企业及</w:t>
      </w:r>
      <w:r>
        <w:rPr>
          <w:rFonts w:hint="eastAsia" w:ascii="宋体" w:hAnsi="宋体" w:eastAsia="宋体" w:cs="宋体"/>
          <w:b/>
          <w:color w:val="auto"/>
          <w:kern w:val="0"/>
          <w:sz w:val="24"/>
        </w:rPr>
        <w:t>总监理工程师</w:t>
      </w:r>
      <w:r>
        <w:rPr>
          <w:rFonts w:hint="eastAsia" w:ascii="宋体" w:hAnsi="宋体" w:eastAsia="宋体" w:cs="宋体"/>
          <w:b/>
          <w:bCs/>
          <w:color w:val="auto"/>
          <w:sz w:val="24"/>
          <w:szCs w:val="24"/>
          <w:highlight w:val="none"/>
        </w:rPr>
        <w:t>基本信息、变更等相关内容清晰完整准确上传，如果因提供自动链接的资料不完整不准确或无法清晰辨认，视为资格审查不合格处理。</w:t>
      </w:r>
    </w:p>
    <w:p w14:paraId="38C5CA41">
      <w:pPr>
        <w:pStyle w:val="14"/>
        <w:keepNext w:val="0"/>
        <w:keepLines w:val="0"/>
        <w:pageBreakBefore w:val="0"/>
        <w:tabs>
          <w:tab w:val="center" w:pos="5095"/>
        </w:tabs>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⑤本工程采用远程不见面交易模式，相关要求和说明详见招标文件前附表补充条款。</w:t>
      </w:r>
    </w:p>
    <w:p w14:paraId="58DD712D">
      <w:pPr>
        <w:pStyle w:val="14"/>
        <w:keepNext w:val="0"/>
        <w:keepLines w:val="0"/>
        <w:pageBreakBefore w:val="0"/>
        <w:tabs>
          <w:tab w:val="center" w:pos="5095"/>
        </w:tabs>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⑥若相关证照为电子证书的，须符合发证部门的使用要求。</w:t>
      </w:r>
    </w:p>
    <w:p w14:paraId="565873AB">
      <w:pPr>
        <w:pStyle w:val="14"/>
        <w:keepNext w:val="0"/>
        <w:keepLines w:val="0"/>
        <w:pageBreakBefore w:val="0"/>
        <w:tabs>
          <w:tab w:val="center" w:pos="5095"/>
        </w:tabs>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五、开标（包括资格后审）时间、地点：</w:t>
      </w:r>
      <w:r>
        <w:rPr>
          <w:rFonts w:hint="eastAsia" w:ascii="宋体" w:hAnsi="宋体" w:eastAsia="宋体" w:cs="宋体"/>
          <w:b/>
          <w:color w:val="auto"/>
          <w:sz w:val="24"/>
          <w:szCs w:val="24"/>
          <w:highlight w:val="none"/>
        </w:rPr>
        <w:tab/>
      </w:r>
    </w:p>
    <w:p w14:paraId="46D6BC12">
      <w:pPr>
        <w:keepNext w:val="0"/>
        <w:keepLines w:val="0"/>
        <w:pageBreakBefore w:val="0"/>
        <w:tabs>
          <w:tab w:val="left" w:pos="120"/>
          <w:tab w:val="left" w:pos="900"/>
          <w:tab w:val="left" w:pos="1080"/>
        </w:tabs>
        <w:kinsoku/>
        <w:wordWrap/>
        <w:overflowPunct/>
        <w:topLinePunct w:val="0"/>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5.1开标时间：</w:t>
      </w:r>
      <w:r>
        <w:rPr>
          <w:rFonts w:hint="eastAsia" w:ascii="宋体" w:hAnsi="宋体" w:eastAsia="宋体" w:cs="宋体"/>
          <w:color w:val="auto"/>
          <w:kern w:val="0"/>
          <w:sz w:val="24"/>
          <w:szCs w:val="24"/>
          <w:highlight w:val="none"/>
          <w:u w:val="single"/>
          <w:lang w:bidi="en-US"/>
        </w:rPr>
        <w:t>202</w:t>
      </w:r>
      <w:r>
        <w:rPr>
          <w:rFonts w:hint="eastAsia" w:ascii="宋体" w:hAnsi="宋体" w:eastAsia="宋体" w:cs="宋体"/>
          <w:color w:val="auto"/>
          <w:kern w:val="0"/>
          <w:sz w:val="24"/>
          <w:szCs w:val="24"/>
          <w:highlight w:val="none"/>
          <w:u w:val="single"/>
          <w:lang w:val="en-US" w:eastAsia="zh-CN" w:bidi="en-US"/>
        </w:rPr>
        <w:t xml:space="preserve">4 </w:t>
      </w:r>
      <w:r>
        <w:rPr>
          <w:rFonts w:hint="eastAsia" w:ascii="宋体" w:hAnsi="宋体" w:eastAsia="宋体" w:cs="宋体"/>
          <w:color w:val="auto"/>
          <w:kern w:val="0"/>
          <w:sz w:val="24"/>
          <w:szCs w:val="24"/>
          <w:highlight w:val="none"/>
          <w:lang w:bidi="en-US"/>
        </w:rPr>
        <w:t>年</w:t>
      </w:r>
      <w:r>
        <w:rPr>
          <w:rFonts w:hint="eastAsia" w:ascii="宋体" w:hAnsi="宋体" w:cs="宋体"/>
          <w:color w:val="auto"/>
          <w:kern w:val="0"/>
          <w:sz w:val="24"/>
          <w:szCs w:val="24"/>
          <w:highlight w:val="none"/>
          <w:u w:val="single"/>
          <w:lang w:val="en-US" w:eastAsia="zh-CN" w:bidi="en-US"/>
        </w:rPr>
        <w:t>10</w:t>
      </w:r>
      <w:r>
        <w:rPr>
          <w:rFonts w:hint="eastAsia" w:ascii="宋体" w:hAnsi="宋体" w:eastAsia="宋体" w:cs="宋体"/>
          <w:color w:val="auto"/>
          <w:kern w:val="0"/>
          <w:sz w:val="24"/>
          <w:szCs w:val="24"/>
          <w:highlight w:val="none"/>
          <w:lang w:bidi="en-US"/>
        </w:rPr>
        <w:t>月</w:t>
      </w:r>
      <w:r>
        <w:rPr>
          <w:rFonts w:hint="eastAsia" w:ascii="宋体" w:hAnsi="宋体" w:cs="宋体"/>
          <w:color w:val="auto"/>
          <w:kern w:val="0"/>
          <w:sz w:val="24"/>
          <w:szCs w:val="24"/>
          <w:highlight w:val="none"/>
          <w:u w:val="single"/>
          <w:lang w:val="en-US" w:eastAsia="zh-CN" w:bidi="en-US"/>
        </w:rPr>
        <w:t>12</w:t>
      </w:r>
      <w:r>
        <w:rPr>
          <w:rFonts w:hint="eastAsia" w:ascii="宋体" w:hAnsi="宋体" w:eastAsia="宋体" w:cs="宋体"/>
          <w:color w:val="auto"/>
          <w:kern w:val="0"/>
          <w:sz w:val="24"/>
          <w:szCs w:val="24"/>
          <w:highlight w:val="none"/>
          <w:lang w:bidi="en-US"/>
        </w:rPr>
        <w:t>日</w:t>
      </w:r>
      <w:r>
        <w:rPr>
          <w:rFonts w:hint="eastAsia" w:ascii="宋体" w:hAnsi="宋体" w:eastAsia="宋体" w:cs="宋体"/>
          <w:color w:val="auto"/>
          <w:kern w:val="0"/>
          <w:sz w:val="24"/>
          <w:szCs w:val="24"/>
          <w:highlight w:val="none"/>
          <w:u w:val="single"/>
          <w:lang w:bidi="en-US"/>
        </w:rPr>
        <w:t xml:space="preserve"> 9:00  </w:t>
      </w:r>
      <w:r>
        <w:rPr>
          <w:rFonts w:hint="eastAsia" w:ascii="宋体" w:hAnsi="宋体" w:eastAsia="宋体" w:cs="宋体"/>
          <w:color w:val="auto"/>
          <w:kern w:val="0"/>
          <w:sz w:val="24"/>
          <w:szCs w:val="24"/>
          <w:highlight w:val="none"/>
          <w:lang w:bidi="en-US"/>
        </w:rPr>
        <w:t>。</w:t>
      </w:r>
    </w:p>
    <w:p w14:paraId="6D6F6128">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六、备注：</w:t>
      </w:r>
    </w:p>
    <w:p w14:paraId="18DFF46E">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6.1招标文件自由下载。</w:t>
      </w:r>
    </w:p>
    <w:p w14:paraId="3BE4E03C">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6.2项目投标以上传投标文件成功为准。</w:t>
      </w:r>
    </w:p>
    <w:p w14:paraId="3F56C3EC">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6.3本工程由于软件模块限定，评分办法以及相关的条款和要求以</w:t>
      </w:r>
      <w:r>
        <w:rPr>
          <w:rFonts w:hint="eastAsia" w:ascii="宋体" w:hAnsi="宋体" w:cs="宋体"/>
          <w:b/>
          <w:color w:val="auto"/>
          <w:sz w:val="24"/>
          <w:szCs w:val="24"/>
          <w:highlight w:val="none"/>
          <w:lang w:val="en-US" w:eastAsia="zh-CN"/>
        </w:rPr>
        <w:t>本</w:t>
      </w:r>
      <w:r>
        <w:rPr>
          <w:rFonts w:hint="eastAsia" w:ascii="宋体" w:hAnsi="宋体" w:eastAsia="宋体" w:cs="宋体"/>
          <w:b/>
          <w:color w:val="auto"/>
          <w:sz w:val="24"/>
          <w:szCs w:val="24"/>
          <w:highlight w:val="none"/>
        </w:rPr>
        <w:t>招标公告附件要求为准。</w:t>
      </w:r>
    </w:p>
    <w:p w14:paraId="560044EA">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6.4本工程所有的资格审查资料，都必须在有效期内。如有关的资审资料在年审中的,开标时必须出具发证单位证明的原件；如有关的年审资料已经年审通过的，开标前必须在 7.0 库里重新上传新的资料扫描件,请各投标单位务必注意。</w:t>
      </w:r>
    </w:p>
    <w:p w14:paraId="61295321">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6.5本工程不满3家投标将重新组织招标。</w:t>
      </w:r>
    </w:p>
    <w:p w14:paraId="35D57DBC">
      <w:pPr>
        <w:pStyle w:val="14"/>
        <w:keepNext w:val="0"/>
        <w:keepLines w:val="0"/>
        <w:pageBreakBefore w:val="0"/>
        <w:kinsoku/>
        <w:wordWrap/>
        <w:overflowPunct/>
        <w:topLinePunct w:val="0"/>
        <w:autoSpaceDN/>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6.6本工程图纸由</w:t>
      </w:r>
      <w:r>
        <w:rPr>
          <w:rFonts w:hint="eastAsia" w:ascii="宋体" w:hAnsi="宋体" w:eastAsia="宋体"/>
          <w:b/>
          <w:color w:val="auto"/>
          <w:sz w:val="24"/>
          <w:highlight w:val="none"/>
          <w:u w:val="single"/>
          <w:lang w:val="en-US" w:eastAsia="zh-CN"/>
        </w:rPr>
        <w:t>江苏省科佳工程设计有限公司</w:t>
      </w:r>
      <w:r>
        <w:rPr>
          <w:rFonts w:hint="eastAsia" w:ascii="宋体" w:hAnsi="宋体" w:eastAsia="宋体" w:cs="宋体"/>
          <w:b/>
          <w:color w:val="auto"/>
          <w:sz w:val="24"/>
          <w:szCs w:val="24"/>
          <w:highlight w:val="none"/>
        </w:rPr>
        <w:t>设计，设计单位不得参与本项目投标。</w:t>
      </w:r>
    </w:p>
    <w:p w14:paraId="607BD6C4">
      <w:pPr>
        <w:keepNext w:val="0"/>
        <w:keepLines w:val="0"/>
        <w:pageBreakBefore w:val="0"/>
        <w:wordWrap/>
        <w:overflowPunct/>
        <w:bidi w:val="0"/>
        <w:spacing w:line="360" w:lineRule="auto"/>
        <w:ind w:left="0" w:leftChars="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331166F">
      <w:pPr>
        <w:keepNext w:val="0"/>
        <w:keepLines w:val="0"/>
        <w:pageBreakBefore w:val="0"/>
        <w:wordWrap/>
        <w:overflowPunct/>
        <w:bidi w:val="0"/>
        <w:spacing w:line="360" w:lineRule="auto"/>
        <w:ind w:left="0" w:leftChars="0" w:right="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附件三</w:t>
      </w:r>
    </w:p>
    <w:p w14:paraId="600B9739">
      <w:pPr>
        <w:pStyle w:val="6"/>
        <w:keepNext w:val="0"/>
        <w:keepLines w:val="0"/>
        <w:pageBreakBefore w:val="0"/>
        <w:wordWrap/>
        <w:overflowPunct/>
        <w:bidi w:val="0"/>
        <w:spacing w:before="0" w:beforeAutospacing="0" w:after="0" w:afterAutospacing="0" w:line="360" w:lineRule="auto"/>
        <w:ind w:left="0" w:leftChars="0" w:right="0"/>
        <w:jc w:val="center"/>
        <w:rPr>
          <w:rFonts w:hint="eastAsia" w:ascii="宋体" w:hAnsi="宋体" w:eastAsia="宋体" w:cs="宋体"/>
          <w:color w:val="auto"/>
          <w:sz w:val="32"/>
          <w:szCs w:val="32"/>
          <w:highlight w:val="none"/>
        </w:rPr>
      </w:pPr>
      <w:r>
        <w:rPr>
          <w:rFonts w:hint="eastAsia" w:ascii="宋体" w:hAnsi="宋体" w:eastAsia="宋体" w:cs="宋体"/>
          <w:b/>
          <w:bCs/>
          <w:color w:val="auto"/>
          <w:kern w:val="0"/>
          <w:sz w:val="32"/>
          <w:szCs w:val="32"/>
          <w:highlight w:val="none"/>
        </w:rPr>
        <w:t>评 标 细 则</w:t>
      </w:r>
    </w:p>
    <w:p w14:paraId="10325C55">
      <w:pPr>
        <w:keepNext w:val="0"/>
        <w:keepLines w:val="0"/>
        <w:pageBreakBefore w:val="0"/>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工程只对符合招标文件、招标答疑纪要等有关招标实质性要求且经过评审确定为有效标书的投标文件进行评审，采用综合评估法，对各投标文件就投标报价、监理机构、拟投入现场的设备、检测仪器、类似工程业绩进行全面评审计分。</w:t>
      </w:r>
    </w:p>
    <w:p w14:paraId="4EBB87E9">
      <w:pPr>
        <w:keepNext w:val="0"/>
        <w:keepLines w:val="0"/>
        <w:pageBreakBefore w:val="0"/>
        <w:wordWrap/>
        <w:overflowPunct/>
        <w:topLinePunct w:val="0"/>
        <w:bidi w:val="0"/>
        <w:spacing w:line="360" w:lineRule="auto"/>
        <w:ind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一、投标报价：(66分) </w:t>
      </w:r>
    </w:p>
    <w:p w14:paraId="371FC82E">
      <w:pPr>
        <w:keepNext w:val="0"/>
        <w:keepLines w:val="0"/>
        <w:pageBreakBefore w:val="0"/>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凡超过招标控制价</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25</w:t>
      </w:r>
      <w:r>
        <w:rPr>
          <w:rFonts w:hint="eastAsia" w:asciiTheme="majorEastAsia" w:hAnsiTheme="majorEastAsia" w:eastAsiaTheme="majorEastAsia" w:cstheme="majorEastAsia"/>
          <w:color w:val="auto"/>
          <w:sz w:val="24"/>
          <w:szCs w:val="24"/>
        </w:rPr>
        <w:t>万元</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或未能实质性响应招标文件、招标答疑纪要等有关招标要求的投标文件为无效标；</w:t>
      </w:r>
    </w:p>
    <w:p w14:paraId="12B2E80F">
      <w:pPr>
        <w:keepNext w:val="0"/>
        <w:keepLines w:val="0"/>
        <w:pageBreakBefore w:val="0"/>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以有效投标文件的投标算术平均值为A，最高投标限价为B（最高投标限价B=</w:t>
      </w:r>
      <w:r>
        <w:rPr>
          <w:rFonts w:hint="eastAsia" w:asciiTheme="majorEastAsia" w:hAnsiTheme="majorEastAsia" w:eastAsiaTheme="majorEastAsia" w:cstheme="majorEastAsia"/>
          <w:color w:val="auto"/>
          <w:sz w:val="24"/>
          <w:szCs w:val="24"/>
          <w:lang w:val="en-US" w:eastAsia="zh-CN"/>
        </w:rPr>
        <w:t>25</w:t>
      </w:r>
      <w:r>
        <w:rPr>
          <w:rFonts w:hint="eastAsia" w:asciiTheme="majorEastAsia" w:hAnsiTheme="majorEastAsia" w:eastAsiaTheme="majorEastAsia" w:cstheme="majorEastAsia"/>
          <w:color w:val="auto"/>
          <w:sz w:val="24"/>
          <w:szCs w:val="24"/>
        </w:rPr>
        <w:t>万元），则：评标基准价＝A×Q1＋B×Q2。Q2＝1-Q1，Q1的取值范围为10％、15％、20％、25％、30％；Q1值由招标人代表在</w:t>
      </w:r>
      <w:r>
        <w:rPr>
          <w:rFonts w:hint="eastAsia" w:asciiTheme="majorEastAsia" w:hAnsiTheme="majorEastAsia" w:eastAsiaTheme="majorEastAsia" w:cstheme="majorEastAsia"/>
          <w:color w:val="auto"/>
          <w:sz w:val="24"/>
          <w:szCs w:val="24"/>
          <w:lang w:val="en-US" w:eastAsia="zh-CN"/>
        </w:rPr>
        <w:t>常州</w:t>
      </w:r>
      <w:r>
        <w:rPr>
          <w:rFonts w:hint="eastAsia" w:asciiTheme="majorEastAsia" w:hAnsiTheme="majorEastAsia" w:eastAsiaTheme="majorEastAsia" w:cstheme="majorEastAsia"/>
          <w:color w:val="auto"/>
          <w:sz w:val="24"/>
          <w:szCs w:val="24"/>
        </w:rPr>
        <w:t>不见面开标系统</w:t>
      </w:r>
      <w:r>
        <w:rPr>
          <w:rFonts w:hint="eastAsia" w:asciiTheme="majorEastAsia" w:hAnsiTheme="majorEastAsia" w:eastAsiaTheme="majorEastAsia" w:cstheme="majorEastAsia"/>
          <w:color w:val="auto"/>
          <w:sz w:val="24"/>
          <w:szCs w:val="24"/>
          <w:lang w:val="en-US" w:eastAsia="zh-CN"/>
        </w:rPr>
        <w:t>内</w:t>
      </w:r>
      <w:r>
        <w:rPr>
          <w:rFonts w:hint="eastAsia" w:asciiTheme="majorEastAsia" w:hAnsiTheme="majorEastAsia" w:eastAsiaTheme="majorEastAsia" w:cstheme="majorEastAsia"/>
          <w:color w:val="auto"/>
          <w:sz w:val="24"/>
          <w:szCs w:val="24"/>
        </w:rPr>
        <w:t>随机抽取。</w:t>
      </w:r>
    </w:p>
    <w:p w14:paraId="36C0CBE5">
      <w:pPr>
        <w:keepNext w:val="0"/>
        <w:keepLines w:val="0"/>
        <w:pageBreakBefore w:val="0"/>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投标报价等于评标基准价的得满分；偏离评标基准价的：投标报价每偏高或偏低1%，扣减0.1分（偏离不足 1%的，按内插入法计算，最终分值计算结果保留两位小数，第三位四舍五入</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w:t>
      </w:r>
    </w:p>
    <w:p w14:paraId="33CCA55C">
      <w:pPr>
        <w:keepNext w:val="0"/>
        <w:keepLines w:val="0"/>
        <w:pageBreakBefore w:val="0"/>
        <w:wordWrap/>
        <w:overflowPunct/>
        <w:topLinePunct w:val="0"/>
        <w:bidi w:val="0"/>
        <w:spacing w:line="360" w:lineRule="auto"/>
        <w:ind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注：</w:t>
      </w:r>
      <w:r>
        <w:rPr>
          <w:rFonts w:hint="eastAsia" w:asciiTheme="majorEastAsia" w:hAnsiTheme="majorEastAsia" w:eastAsiaTheme="majorEastAsia" w:cstheme="majorEastAsia"/>
          <w:b/>
          <w:bCs/>
          <w:color w:val="auto"/>
          <w:sz w:val="24"/>
          <w:szCs w:val="24"/>
          <w:lang w:val="en-US" w:eastAsia="zh-CN"/>
        </w:rPr>
        <w:t>1.</w:t>
      </w:r>
      <w:r>
        <w:rPr>
          <w:rFonts w:hint="eastAsia" w:asciiTheme="majorEastAsia" w:hAnsiTheme="majorEastAsia" w:eastAsiaTheme="majorEastAsia" w:cstheme="majorEastAsia"/>
          <w:b/>
          <w:bCs/>
          <w:color w:val="auto"/>
          <w:sz w:val="24"/>
          <w:szCs w:val="24"/>
        </w:rPr>
        <w:t>计算算术平均值A时，当有效投标文件＜7家时，直接取所有投标报价的平均值；若7家≤有效投标文件&lt;10家时，应去掉其中的一个最高价和一个最低价后计算其他投标报价的平均值；若有效投标文件≥10家，应去掉其中的二个最高价和二个</w:t>
      </w:r>
      <w:r>
        <w:rPr>
          <w:rFonts w:hint="eastAsia" w:ascii="宋体" w:hAnsi="宋体" w:eastAsia="宋体" w:cs="Times New Roman"/>
          <w:b/>
          <w:bCs/>
          <w:color w:val="auto"/>
          <w:sz w:val="24"/>
          <w:szCs w:val="24"/>
        </w:rPr>
        <w:t>最低价后</w:t>
      </w:r>
      <w:r>
        <w:rPr>
          <w:rFonts w:hint="eastAsia" w:ascii="宋体" w:hAnsi="宋体" w:eastAsia="宋体" w:cs="Times New Roman"/>
          <w:b/>
          <w:bCs/>
          <w:color w:val="auto"/>
          <w:sz w:val="24"/>
          <w:szCs w:val="24"/>
          <w:lang w:val="en-US" w:eastAsia="zh-CN"/>
        </w:rPr>
        <w:t>计算其他投标报价的平均值</w:t>
      </w:r>
      <w:r>
        <w:rPr>
          <w:rFonts w:hint="eastAsia" w:asciiTheme="majorEastAsia" w:hAnsiTheme="majorEastAsia" w:eastAsiaTheme="majorEastAsia" w:cstheme="majorEastAsia"/>
          <w:b/>
          <w:bCs/>
          <w:color w:val="auto"/>
          <w:sz w:val="24"/>
          <w:szCs w:val="24"/>
        </w:rPr>
        <w:t>。</w:t>
      </w:r>
    </w:p>
    <w:p w14:paraId="5F123020">
      <w:pPr>
        <w:keepNext w:val="0"/>
        <w:keepLines w:val="0"/>
        <w:pageBreakBefore w:val="0"/>
        <w:wordWrap/>
        <w:overflowPunct/>
        <w:topLinePunct w:val="0"/>
        <w:bidi w:val="0"/>
        <w:spacing w:line="360" w:lineRule="auto"/>
        <w:ind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2.评标委员会在评标报告签字后，上述方法的评标基准价不因招投标当事人质疑、投诉、复议以及其他任何情形而改变，但评标过程中的计算错误可作调整。</w:t>
      </w:r>
    </w:p>
    <w:p w14:paraId="7E082EDD">
      <w:pPr>
        <w:keepNext w:val="0"/>
        <w:keepLines w:val="0"/>
        <w:pageBreakBefore w:val="0"/>
        <w:kinsoku/>
        <w:wordWrap/>
        <w:overflowPunct/>
        <w:topLinePunct w:val="0"/>
        <w:bidi w:val="0"/>
        <w:snapToGrid/>
        <w:spacing w:line="360" w:lineRule="auto"/>
        <w:ind w:firstLine="482" w:firstLineChars="200"/>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二、项目监理机构：18分</w:t>
      </w:r>
    </w:p>
    <w:p w14:paraId="65974EFA">
      <w:pPr>
        <w:keepNext w:val="0"/>
        <w:keepLines w:val="0"/>
        <w:pageBreakBefore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rPr>
        <w:t>总监理工程师（6分）</w:t>
      </w:r>
    </w:p>
    <w:p w14:paraId="0FA2EA2C">
      <w:pPr>
        <w:keepNext w:val="0"/>
        <w:keepLines w:val="0"/>
        <w:pageBreakBefore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（1）拟派总监取得国家监理工程师执(职)业资格年限10年</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不</w:t>
      </w:r>
      <w:r>
        <w:rPr>
          <w:rFonts w:hint="eastAsia" w:asciiTheme="majorEastAsia" w:hAnsiTheme="majorEastAsia" w:eastAsiaTheme="majorEastAsia" w:cstheme="majorEastAsia"/>
          <w:color w:val="auto"/>
          <w:sz w:val="24"/>
          <w:szCs w:val="24"/>
        </w:rPr>
        <w:t>含</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以上的得</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分，年限5年</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不</w:t>
      </w:r>
      <w:r>
        <w:rPr>
          <w:rFonts w:hint="eastAsia" w:asciiTheme="majorEastAsia" w:hAnsiTheme="majorEastAsia" w:eastAsiaTheme="majorEastAsia" w:cstheme="majorEastAsia"/>
          <w:color w:val="auto"/>
          <w:sz w:val="24"/>
          <w:szCs w:val="24"/>
        </w:rPr>
        <w:t>含</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-10年（含）的得</w:t>
      </w:r>
      <w:r>
        <w:rPr>
          <w:rFonts w:hint="eastAsia" w:asciiTheme="majorEastAsia" w:hAnsiTheme="majorEastAsia" w:eastAsiaTheme="majorEastAsia" w:cstheme="majorEastAsia"/>
          <w:color w:val="auto"/>
          <w:sz w:val="24"/>
          <w:szCs w:val="24"/>
          <w:lang w:val="en-US" w:eastAsia="zh-CN"/>
        </w:rPr>
        <w:t>1.5</w:t>
      </w:r>
      <w:r>
        <w:rPr>
          <w:rFonts w:hint="eastAsia" w:asciiTheme="majorEastAsia" w:hAnsiTheme="majorEastAsia" w:eastAsiaTheme="majorEastAsia" w:cstheme="majorEastAsia"/>
          <w:color w:val="auto"/>
          <w:sz w:val="24"/>
          <w:szCs w:val="24"/>
        </w:rPr>
        <w:t>分，5年（含）以下不得分，本项最高得</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分。（提供执（职）业资格证书原件扫描件（或电子证照），无原件扫描件（或电子证照）或原件扫描件（或电子证照）不全均不得分。执（职）业年限以执（职）业资格证书批准日期至投标截止日实足时间为准）</w:t>
      </w:r>
    </w:p>
    <w:p w14:paraId="7BD1BF61">
      <w:pPr>
        <w:keepNext w:val="0"/>
        <w:keepLines w:val="0"/>
        <w:pageBreakBefore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（2）拟派总监具有建设工程类高级工程师</w:t>
      </w:r>
      <w:r>
        <w:rPr>
          <w:rFonts w:hint="eastAsia" w:asciiTheme="majorEastAsia" w:hAnsiTheme="majorEastAsia" w:eastAsiaTheme="majorEastAsia" w:cstheme="majorEastAsia"/>
          <w:color w:val="auto"/>
          <w:sz w:val="24"/>
          <w:szCs w:val="24"/>
          <w:lang w:bidi="zh-CN"/>
        </w:rPr>
        <w:t>及以上</w:t>
      </w:r>
      <w:r>
        <w:rPr>
          <w:rFonts w:hint="eastAsia" w:asciiTheme="majorEastAsia" w:hAnsiTheme="majorEastAsia" w:eastAsiaTheme="majorEastAsia" w:cstheme="majorEastAsia"/>
          <w:color w:val="auto"/>
          <w:sz w:val="24"/>
          <w:szCs w:val="24"/>
        </w:rPr>
        <w:t>职称的得</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分，具有建设工程类工程师职称的得</w:t>
      </w:r>
      <w:r>
        <w:rPr>
          <w:rFonts w:hint="eastAsia" w:asciiTheme="majorEastAsia" w:hAnsiTheme="majorEastAsia" w:eastAsiaTheme="majorEastAsia" w:cstheme="majorEastAsia"/>
          <w:color w:val="auto"/>
          <w:sz w:val="24"/>
          <w:szCs w:val="24"/>
          <w:lang w:val="en-US" w:eastAsia="zh-CN"/>
        </w:rPr>
        <w:t>1.5</w:t>
      </w:r>
      <w:r>
        <w:rPr>
          <w:rFonts w:hint="eastAsia" w:asciiTheme="majorEastAsia" w:hAnsiTheme="majorEastAsia" w:eastAsiaTheme="majorEastAsia" w:cstheme="majorEastAsia"/>
          <w:color w:val="auto"/>
          <w:sz w:val="24"/>
          <w:szCs w:val="24"/>
        </w:rPr>
        <w:t>分，本项最高得</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分。(以职称证书原件扫描件（或电子证照）为准，无原件扫描件（或电子证照）或扫描件（或电子证照）不全均不得分）。</w:t>
      </w:r>
    </w:p>
    <w:p w14:paraId="62E1150F">
      <w:pPr>
        <w:pStyle w:val="14"/>
        <w:keepNext w:val="0"/>
        <w:keepLines w:val="0"/>
        <w:pageBreakBefore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2</w:t>
      </w:r>
      <w:r>
        <w:rPr>
          <w:rFonts w:hint="eastAsia"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eastAsia="zh-CN"/>
        </w:rPr>
        <w:t>拟配备监理组人员（不含总监）（12分）</w:t>
      </w:r>
    </w:p>
    <w:p w14:paraId="7330D2B0">
      <w:pPr>
        <w:keepNext w:val="0"/>
        <w:keepLines w:val="0"/>
        <w:pageBreakBefore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（1）除拟派总监外，配备 1 名监理人员满足下列情况之一的得相应分数，本项限评 1 人，最高得4分：①具备注册安全工程师（注册类别为建筑施工安全）的，得2分；（以有效期内注册证书原件扫描件（或电子证照）为准，无原件扫描件(或电子证照)或扫描件(或电子证照)不全均不得分）。②具有国家注册监理工程师（注册专业为市政公用工程）的得2分；（以有效期内注册证书原件扫描件（或电子证照）为准，无原件扫描件(或电子证照)或扫描件(或电子证照)不全均不得分）。</w:t>
      </w:r>
    </w:p>
    <w:p w14:paraId="68D6731E">
      <w:pPr>
        <w:pStyle w:val="16"/>
        <w:tabs>
          <w:tab w:val="left" w:pos="2520"/>
        </w:tabs>
        <w:spacing w:line="360" w:lineRule="auto"/>
        <w:ind w:firstLine="566" w:firstLineChars="236"/>
        <w:rPr>
          <w:rFonts w:hint="eastAsia" w:ascii="宋体" w:hAnsi="宋体" w:eastAsia="宋体" w:cs="Times New Roman"/>
          <w:b w:val="0"/>
          <w:bCs w:val="0"/>
          <w:color w:val="auto"/>
          <w:sz w:val="24"/>
          <w:szCs w:val="24"/>
          <w:highlight w:val="none"/>
          <w:lang w:eastAsia="zh-CN"/>
        </w:rPr>
      </w:pPr>
      <w:r>
        <w:rPr>
          <w:rFonts w:hint="eastAsia" w:asciiTheme="majorEastAsia" w:hAnsiTheme="majorEastAsia" w:eastAsiaTheme="majorEastAsia" w:cstheme="majorEastAsia"/>
          <w:color w:val="auto"/>
          <w:sz w:val="24"/>
          <w:szCs w:val="24"/>
        </w:rPr>
        <w:t>（2）除拟派总监外，配备 1 名监理人员满足下列情况之一的得相应分数，本项限评 1 人，最高得 4</w:t>
      </w:r>
      <w:r>
        <w:rPr>
          <w:rFonts w:hint="eastAsia" w:asciiTheme="majorEastAsia" w:hAnsiTheme="majorEastAsia" w:eastAsiaTheme="majorEastAsia" w:cstheme="majorEastAsia"/>
          <w:color w:val="auto"/>
          <w:sz w:val="24"/>
          <w:szCs w:val="24"/>
          <w:highlight w:val="none"/>
        </w:rPr>
        <w:t>分：①具有国家注册监理工程师（注册专业为市政公用工程）的得 2 分；</w:t>
      </w:r>
      <w:r>
        <w:rPr>
          <w:rFonts w:hint="eastAsia" w:ascii="宋体" w:hAnsi="宋体" w:eastAsia="宋体" w:cs="Times New Roman"/>
          <w:b w:val="0"/>
          <w:bCs w:val="0"/>
          <w:color w:val="auto"/>
          <w:sz w:val="24"/>
          <w:szCs w:val="24"/>
          <w:highlight w:val="none"/>
        </w:rPr>
        <w:t>（</w:t>
      </w:r>
      <w:r>
        <w:rPr>
          <w:rFonts w:hint="eastAsia" w:ascii="宋体" w:hAnsi="宋体" w:eastAsia="宋体" w:cs="Times New Roman"/>
          <w:b w:val="0"/>
          <w:bCs w:val="0"/>
          <w:color w:val="auto"/>
          <w:sz w:val="24"/>
          <w:szCs w:val="24"/>
        </w:rPr>
        <w:t>以有效期内注册证书原件扫描件（或电子证照）为准，无原件扫描件(或电子证照)或扫描件(或</w:t>
      </w:r>
      <w:r>
        <w:rPr>
          <w:rFonts w:hint="eastAsia" w:ascii="宋体" w:hAnsi="宋体" w:eastAsia="宋体" w:cs="Times New Roman"/>
          <w:b w:val="0"/>
          <w:bCs w:val="0"/>
          <w:color w:val="auto"/>
          <w:sz w:val="24"/>
          <w:szCs w:val="24"/>
          <w:highlight w:val="none"/>
        </w:rPr>
        <w:t>电子证照)不全均不得分）。</w:t>
      </w:r>
      <w:r>
        <w:rPr>
          <w:rFonts w:hint="eastAsia" w:asciiTheme="majorEastAsia" w:hAnsiTheme="majorEastAsia" w:eastAsiaTheme="majorEastAsia" w:cstheme="majorEastAsia"/>
          <w:color w:val="auto"/>
          <w:sz w:val="24"/>
          <w:szCs w:val="24"/>
          <w:highlight w:val="none"/>
        </w:rPr>
        <w:t>②具有国家注册一级建造师（注册专业为市政公用工程）的得 2分。</w:t>
      </w:r>
      <w:r>
        <w:rPr>
          <w:rFonts w:hint="eastAsia" w:ascii="宋体" w:hAnsi="宋体" w:eastAsia="宋体" w:cs="Times New Roman"/>
          <w:b w:val="0"/>
          <w:bCs w:val="0"/>
          <w:color w:val="auto"/>
          <w:sz w:val="24"/>
          <w:szCs w:val="24"/>
          <w:highlight w:val="none"/>
          <w:lang w:eastAsia="zh-CN"/>
        </w:rPr>
        <w:t>（一级注册建造师以有效期内的注册证书电子证照为准，无电子证照或电子证照内容不全均不得分）。</w:t>
      </w:r>
    </w:p>
    <w:p w14:paraId="681B96C9">
      <w:pPr>
        <w:pStyle w:val="16"/>
        <w:tabs>
          <w:tab w:val="left" w:pos="2520"/>
        </w:tabs>
        <w:spacing w:line="360" w:lineRule="auto"/>
        <w:ind w:firstLine="566" w:firstLineChars="236"/>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（3）除拟派总监外，配备 1 名监理人员满足下列情况之一的得相应分数，本项限评 1 人，最高得4分：①具有国家注册一级建造师（注册专业为市政公用工程）的得2分，本项最高得2分；</w:t>
      </w:r>
      <w:r>
        <w:rPr>
          <w:rFonts w:hint="eastAsia" w:ascii="宋体" w:hAnsi="宋体" w:eastAsia="宋体" w:cs="Times New Roman"/>
          <w:b w:val="0"/>
          <w:bCs w:val="0"/>
          <w:color w:val="auto"/>
          <w:sz w:val="24"/>
          <w:szCs w:val="24"/>
          <w:highlight w:val="none"/>
          <w:lang w:eastAsia="zh-CN"/>
        </w:rPr>
        <w:t>（一级注册建造师以有效期内的注册证书电子证照为准，无电子证照或电子证照内容不全均不得分）。</w:t>
      </w:r>
      <w:r>
        <w:rPr>
          <w:rFonts w:hint="eastAsia" w:asciiTheme="majorEastAsia" w:hAnsiTheme="majorEastAsia" w:eastAsiaTheme="majorEastAsia" w:cstheme="majorEastAsia"/>
          <w:color w:val="auto"/>
          <w:sz w:val="24"/>
          <w:szCs w:val="24"/>
          <w:highlight w:val="none"/>
        </w:rPr>
        <w:t>②具有注册公用设备工程师（给水排水）的得2分。</w:t>
      </w:r>
      <w:r>
        <w:rPr>
          <w:rFonts w:hint="eastAsia" w:ascii="宋体" w:hAnsi="宋体" w:eastAsia="宋体" w:cs="Times New Roman"/>
          <w:b w:val="0"/>
          <w:bCs w:val="0"/>
          <w:color w:val="auto"/>
          <w:sz w:val="24"/>
          <w:szCs w:val="24"/>
          <w:highlight w:val="none"/>
          <w:lang w:eastAsia="zh-CN"/>
        </w:rPr>
        <w:t>（以有效期内的注册证书原件扫描件为准，无原件扫描件或扫描件不全均不得分）。</w:t>
      </w:r>
    </w:p>
    <w:p w14:paraId="25E483E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ajorEastAsia" w:hAnsiTheme="majorEastAsia" w:eastAsiaTheme="majorEastAsia" w:cstheme="majorEastAsia"/>
          <w:b/>
          <w:color w:val="auto"/>
          <w:sz w:val="24"/>
          <w:szCs w:val="24"/>
          <w:lang w:val="zh-CN"/>
        </w:rPr>
      </w:pPr>
      <w:r>
        <w:rPr>
          <w:rFonts w:hint="eastAsia" w:asciiTheme="majorEastAsia" w:hAnsiTheme="majorEastAsia" w:eastAsiaTheme="majorEastAsia" w:cstheme="majorEastAsia"/>
          <w:b/>
          <w:color w:val="auto"/>
          <w:sz w:val="24"/>
          <w:szCs w:val="24"/>
          <w:lang w:val="zh-CN"/>
        </w:rPr>
        <w:t>注：1.以上（1）、（2）、（</w:t>
      </w:r>
      <w:r>
        <w:rPr>
          <w:rFonts w:hint="eastAsia" w:asciiTheme="majorEastAsia" w:hAnsiTheme="majorEastAsia" w:eastAsiaTheme="majorEastAsia" w:cstheme="majorEastAsia"/>
          <w:b/>
          <w:color w:val="auto"/>
          <w:sz w:val="24"/>
          <w:szCs w:val="24"/>
        </w:rPr>
        <w:t>3</w:t>
      </w:r>
      <w:r>
        <w:rPr>
          <w:rFonts w:hint="eastAsia" w:asciiTheme="majorEastAsia" w:hAnsiTheme="majorEastAsia" w:eastAsiaTheme="majorEastAsia" w:cstheme="majorEastAsia"/>
          <w:b/>
          <w:color w:val="auto"/>
          <w:sz w:val="24"/>
          <w:szCs w:val="24"/>
          <w:lang w:val="zh-CN"/>
        </w:rPr>
        <w:t>）项不重复得分。</w:t>
      </w:r>
    </w:p>
    <w:p w14:paraId="20CA2AB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ajorEastAsia" w:hAnsiTheme="majorEastAsia" w:eastAsiaTheme="majorEastAsia" w:cstheme="majorEastAsia"/>
          <w:b/>
          <w:color w:val="auto"/>
          <w:sz w:val="24"/>
          <w:szCs w:val="24"/>
          <w:lang w:val="zh-CN"/>
        </w:rPr>
      </w:pPr>
      <w:r>
        <w:rPr>
          <w:rFonts w:hint="eastAsia" w:asciiTheme="majorEastAsia" w:hAnsiTheme="majorEastAsia" w:eastAsiaTheme="majorEastAsia" w:cstheme="majorEastAsia"/>
          <w:b/>
          <w:color w:val="auto"/>
          <w:sz w:val="24"/>
          <w:szCs w:val="24"/>
          <w:lang w:val="zh-CN"/>
        </w:rPr>
        <w:t>2.若相关证照为电子证书的，须符合发证部门的使用要求。</w:t>
      </w:r>
    </w:p>
    <w:p w14:paraId="6643E0A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ajorEastAsia" w:hAnsiTheme="majorEastAsia" w:eastAsiaTheme="majorEastAsia" w:cstheme="majorEastAsia"/>
          <w:b/>
          <w:color w:val="auto"/>
          <w:sz w:val="24"/>
          <w:szCs w:val="24"/>
          <w:lang w:val="zh-CN"/>
        </w:rPr>
      </w:pPr>
      <w:r>
        <w:rPr>
          <w:rFonts w:hint="eastAsia" w:asciiTheme="majorEastAsia" w:hAnsiTheme="majorEastAsia" w:eastAsiaTheme="majorEastAsia" w:cstheme="majorEastAsia"/>
          <w:b/>
          <w:color w:val="auto"/>
          <w:sz w:val="24"/>
          <w:szCs w:val="24"/>
          <w:lang w:val="en-US" w:eastAsia="zh-CN"/>
        </w:rPr>
        <w:t>3.</w:t>
      </w:r>
      <w:r>
        <w:rPr>
          <w:rFonts w:hint="eastAsia" w:asciiTheme="majorEastAsia" w:hAnsiTheme="majorEastAsia" w:eastAsiaTheme="majorEastAsia" w:cstheme="majorEastAsia"/>
          <w:b/>
          <w:color w:val="auto"/>
          <w:sz w:val="24"/>
          <w:szCs w:val="24"/>
          <w:lang w:val="zh-CN"/>
        </w:rPr>
        <w:t>一级建造师证书须符合《住房和城乡建设部办公厅关于全面实行一级建造师电子注册证书的通知》（建办市[2021]40 号）要求。</w:t>
      </w:r>
    </w:p>
    <w:p w14:paraId="3760CBC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default" w:asciiTheme="majorEastAsia" w:hAnsiTheme="majorEastAsia" w:eastAsiaTheme="majorEastAsia" w:cstheme="majorEastAsia"/>
          <w:b/>
          <w:color w:val="auto"/>
          <w:sz w:val="24"/>
          <w:szCs w:val="24"/>
          <w:lang w:val="en-US" w:eastAsia="zh-CN"/>
        </w:rPr>
      </w:pPr>
      <w:r>
        <w:rPr>
          <w:rFonts w:hint="eastAsia" w:asciiTheme="majorEastAsia" w:hAnsiTheme="majorEastAsia" w:eastAsiaTheme="majorEastAsia" w:cstheme="majorEastAsia"/>
          <w:b/>
          <w:color w:val="auto"/>
          <w:sz w:val="24"/>
          <w:szCs w:val="24"/>
          <w:lang w:val="en-US" w:eastAsia="zh-CN"/>
        </w:rPr>
        <w:t xml:space="preserve">4.注册证书初始注册或延续注册已通过的，但未有延续注册记录贴条的，需提供建设部全国建筑市场监管公共服务平台查询记录截图和网址。 </w:t>
      </w:r>
    </w:p>
    <w:p w14:paraId="3E80C84F">
      <w:pPr>
        <w:keepNext w:val="0"/>
        <w:keepLines w:val="0"/>
        <w:pageBreakBefore w:val="0"/>
        <w:kinsoku/>
        <w:wordWrap/>
        <w:overflowPunct/>
        <w:topLinePunct w:val="0"/>
        <w:bidi w:val="0"/>
        <w:snapToGrid/>
        <w:spacing w:line="360" w:lineRule="auto"/>
        <w:ind w:firstLine="482" w:firstLineChars="200"/>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三、拟投入现场的设备、检测仪器等：8分</w:t>
      </w:r>
    </w:p>
    <w:p w14:paraId="2D64ED8E">
      <w:pPr>
        <w:keepNext w:val="0"/>
        <w:keepLines w:val="0"/>
        <w:pageBreakBefore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检测设备配置有全站仪、经纬仪、水准仪、激光测距仪、回弹仪、钢筋位置测定仪、路面弯沉仪、土壤分析仪的得 8 分，每少一件扣 1 分，扣完为止，相同仪器不重复得分。（须提供仪器发票原件扫描件（或电子发票），购买方必须为投标人，无原件扫描件（或电子发票）或扫描件（或电子发票）不全均不得分。</w:t>
      </w:r>
    </w:p>
    <w:p w14:paraId="78CA1AD5">
      <w:pPr>
        <w:keepNext w:val="0"/>
        <w:keepLines w:val="0"/>
        <w:pageBreakBefore w:val="0"/>
        <w:kinsoku/>
        <w:wordWrap/>
        <w:overflowPunct/>
        <w:topLinePunct w:val="0"/>
        <w:bidi w:val="0"/>
        <w:snapToGrid/>
        <w:spacing w:line="360" w:lineRule="auto"/>
        <w:ind w:firstLine="482" w:firstLineChars="200"/>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四、类似工程业绩：8分</w:t>
      </w:r>
    </w:p>
    <w:p w14:paraId="32A8B7C7">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lang w:val="en-US"/>
        </w:rPr>
        <w:t>企业业绩（4分）</w:t>
      </w:r>
    </w:p>
    <w:p w14:paraId="0A812C69">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投标企业</w:t>
      </w:r>
      <w:r>
        <w:rPr>
          <w:rFonts w:hint="eastAsia" w:ascii="宋体" w:hAnsi="宋体" w:eastAsia="宋体" w:cs="Times New Roman"/>
          <w:b w:val="0"/>
          <w:bCs w:val="0"/>
          <w:color w:val="auto"/>
          <w:kern w:val="2"/>
          <w:sz w:val="24"/>
          <w:szCs w:val="24"/>
          <w:lang w:val="en-US" w:eastAsia="zh-CN" w:bidi="ar-SA"/>
        </w:rPr>
        <w:t>自2021年9月1日至开标之日</w:t>
      </w:r>
      <w:r>
        <w:rPr>
          <w:rFonts w:hint="eastAsia" w:ascii="Times New Roman" w:hAnsi="Times New Roman" w:eastAsia="宋体" w:cs="Times New Roman"/>
          <w:color w:val="auto"/>
          <w:kern w:val="2"/>
          <w:sz w:val="24"/>
          <w:szCs w:val="24"/>
          <w:lang w:val="en-US" w:eastAsia="zh-CN" w:bidi="ar-SA"/>
        </w:rPr>
        <w:t>截止</w:t>
      </w:r>
      <w:r>
        <w:rPr>
          <w:rFonts w:hint="eastAsia" w:asciiTheme="majorEastAsia" w:hAnsiTheme="majorEastAsia" w:eastAsiaTheme="majorEastAsia" w:cstheme="majorEastAsia"/>
          <w:color w:val="auto"/>
          <w:sz w:val="24"/>
          <w:szCs w:val="24"/>
        </w:rPr>
        <w:t>监理过单项合同工程造价≥1</w:t>
      </w:r>
      <w:r>
        <w:rPr>
          <w:rFonts w:hint="eastAsia" w:asciiTheme="majorEastAsia" w:hAnsiTheme="majorEastAsia" w:eastAsiaTheme="majorEastAsia" w:cstheme="majorEastAsia"/>
          <w:color w:val="auto"/>
          <w:sz w:val="24"/>
          <w:szCs w:val="24"/>
          <w:lang w:val="en-US" w:eastAsia="zh-CN"/>
        </w:rPr>
        <w:t>143</w:t>
      </w:r>
      <w:r>
        <w:rPr>
          <w:rFonts w:hint="eastAsia" w:asciiTheme="majorEastAsia" w:hAnsiTheme="majorEastAsia" w:eastAsiaTheme="majorEastAsia" w:cstheme="majorEastAsia"/>
          <w:color w:val="auto"/>
          <w:sz w:val="24"/>
          <w:szCs w:val="24"/>
        </w:rPr>
        <w:t>万元并已竣工验收的</w:t>
      </w:r>
      <w:r>
        <w:rPr>
          <w:rFonts w:hint="eastAsia" w:asciiTheme="majorEastAsia" w:hAnsiTheme="majorEastAsia" w:eastAsiaTheme="majorEastAsia" w:cstheme="majorEastAsia"/>
          <w:color w:val="auto"/>
          <w:sz w:val="24"/>
          <w:szCs w:val="24"/>
          <w:lang w:val="en-US"/>
        </w:rPr>
        <w:t>市政道路</w:t>
      </w:r>
      <w:r>
        <w:rPr>
          <w:rFonts w:hint="eastAsia" w:asciiTheme="majorEastAsia" w:hAnsiTheme="majorEastAsia" w:eastAsiaTheme="majorEastAsia" w:cstheme="majorEastAsia"/>
          <w:color w:val="auto"/>
          <w:sz w:val="24"/>
          <w:szCs w:val="24"/>
          <w:lang w:val="en-US" w:eastAsia="zh-CN"/>
        </w:rPr>
        <w:t>工程</w:t>
      </w:r>
      <w:r>
        <w:rPr>
          <w:rFonts w:hint="eastAsia" w:asciiTheme="majorEastAsia" w:hAnsiTheme="majorEastAsia" w:eastAsiaTheme="majorEastAsia" w:cstheme="majorEastAsia"/>
          <w:color w:val="auto"/>
          <w:sz w:val="24"/>
          <w:szCs w:val="24"/>
        </w:rPr>
        <w:t>，有一个得2分，最高得</w:t>
      </w:r>
      <w:r>
        <w:rPr>
          <w:rFonts w:hint="eastAsia" w:asciiTheme="majorEastAsia" w:hAnsiTheme="majorEastAsia" w:eastAsiaTheme="majorEastAsia" w:cstheme="majorEastAsia"/>
          <w:color w:val="auto"/>
          <w:sz w:val="24"/>
          <w:szCs w:val="24"/>
          <w:lang w:val="en-US"/>
        </w:rPr>
        <w:t>4</w:t>
      </w:r>
      <w:r>
        <w:rPr>
          <w:rFonts w:hint="eastAsia" w:asciiTheme="majorEastAsia" w:hAnsiTheme="majorEastAsia" w:eastAsiaTheme="majorEastAsia" w:cstheme="majorEastAsia"/>
          <w:color w:val="auto"/>
          <w:sz w:val="24"/>
          <w:szCs w:val="24"/>
        </w:rPr>
        <w:t>分。（建筑类型分类标准按照建设工程分类GB/T50841-2013划分）</w:t>
      </w:r>
    </w:p>
    <w:p w14:paraId="26EAF12F">
      <w:pPr>
        <w:keepNext w:val="0"/>
        <w:keepLines w:val="0"/>
        <w:pageBreakBefore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总监业绩（4分）</w:t>
      </w:r>
    </w:p>
    <w:p w14:paraId="54863EFB">
      <w:pPr>
        <w:keepNext w:val="0"/>
        <w:keepLines w:val="0"/>
        <w:pageBreakBefore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rPr>
        <w:t>拟派总监工程师</w:t>
      </w:r>
      <w:r>
        <w:rPr>
          <w:rFonts w:hint="eastAsia" w:ascii="宋体" w:hAnsi="宋体" w:eastAsia="宋体" w:cs="Times New Roman"/>
          <w:b w:val="0"/>
          <w:bCs w:val="0"/>
          <w:color w:val="auto"/>
          <w:kern w:val="2"/>
          <w:sz w:val="24"/>
          <w:szCs w:val="24"/>
          <w:lang w:val="en-US" w:eastAsia="zh-CN" w:bidi="ar-SA"/>
        </w:rPr>
        <w:t>自2021年9月1日至开标之日截止</w:t>
      </w:r>
      <w:r>
        <w:rPr>
          <w:rFonts w:hint="eastAsia" w:asciiTheme="majorEastAsia" w:hAnsiTheme="majorEastAsia" w:eastAsiaTheme="majorEastAsia" w:cstheme="majorEastAsia"/>
          <w:color w:val="auto"/>
          <w:sz w:val="24"/>
          <w:szCs w:val="24"/>
        </w:rPr>
        <w:t>监理过单项合同工程造价≥1</w:t>
      </w:r>
      <w:r>
        <w:rPr>
          <w:rFonts w:hint="eastAsia" w:asciiTheme="majorEastAsia" w:hAnsiTheme="majorEastAsia" w:eastAsiaTheme="majorEastAsia" w:cstheme="majorEastAsia"/>
          <w:color w:val="auto"/>
          <w:sz w:val="24"/>
          <w:szCs w:val="24"/>
          <w:lang w:val="en-US" w:eastAsia="zh-CN"/>
        </w:rPr>
        <w:t>143</w:t>
      </w:r>
      <w:r>
        <w:rPr>
          <w:rFonts w:hint="eastAsia" w:asciiTheme="majorEastAsia" w:hAnsiTheme="majorEastAsia" w:eastAsiaTheme="majorEastAsia" w:cstheme="majorEastAsia"/>
          <w:color w:val="auto"/>
          <w:sz w:val="24"/>
          <w:szCs w:val="24"/>
        </w:rPr>
        <w:t>万元并已竣工验收的市政道路</w:t>
      </w:r>
      <w:r>
        <w:rPr>
          <w:rFonts w:hint="eastAsia" w:asciiTheme="majorEastAsia" w:hAnsiTheme="majorEastAsia" w:eastAsiaTheme="majorEastAsia" w:cstheme="majorEastAsia"/>
          <w:color w:val="auto"/>
          <w:sz w:val="24"/>
          <w:szCs w:val="24"/>
          <w:lang w:val="en-US" w:eastAsia="zh-CN"/>
        </w:rPr>
        <w:t>工程</w:t>
      </w:r>
      <w:r>
        <w:rPr>
          <w:rFonts w:hint="eastAsia" w:asciiTheme="majorEastAsia" w:hAnsiTheme="majorEastAsia" w:eastAsiaTheme="majorEastAsia" w:cstheme="majorEastAsia"/>
          <w:color w:val="auto"/>
          <w:sz w:val="24"/>
          <w:szCs w:val="24"/>
        </w:rPr>
        <w:t>，有一个得2分，本项最高得4</w:t>
      </w:r>
      <w:r>
        <w:rPr>
          <w:rFonts w:hint="eastAsia" w:asciiTheme="majorEastAsia" w:hAnsiTheme="majorEastAsia" w:eastAsiaTheme="majorEastAsia" w:cstheme="majorEastAsia"/>
          <w:color w:val="auto"/>
          <w:sz w:val="24"/>
          <w:szCs w:val="24"/>
          <w:highlight w:val="none"/>
        </w:rPr>
        <w:t>分。（建筑类型分类标准按照建设工程分类GB/T50841-2013划分）</w:t>
      </w:r>
    </w:p>
    <w:p w14:paraId="3726EA47">
      <w:pPr>
        <w:keepNext w:val="0"/>
        <w:keepLines w:val="0"/>
        <w:pageBreakBefore w:val="0"/>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说明：</w:t>
      </w:r>
    </w:p>
    <w:p w14:paraId="41D49CDC">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1）业绩认定时间以工程竣工验收证明所载的时间为准。竣工验收证明包括竣工验收记录单或竣工验收备案表，如同时提供工程竣工验收记录单和竣工验收备案表，以载明时间较晚的为准。</w:t>
      </w:r>
    </w:p>
    <w:p w14:paraId="4A5C124C">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lang w:val="en-US"/>
        </w:rPr>
        <w:t>受监工程造价</w:t>
      </w:r>
      <w:r>
        <w:rPr>
          <w:rFonts w:hint="eastAsia" w:asciiTheme="majorEastAsia" w:hAnsiTheme="majorEastAsia" w:eastAsiaTheme="majorEastAsia" w:cstheme="majorEastAsia"/>
          <w:color w:val="auto"/>
          <w:sz w:val="24"/>
          <w:szCs w:val="24"/>
        </w:rPr>
        <w:t>以单份中标通知书(或单份直接发包证明)或单份监理合同或工程竣工验收证明所载内容为准，如提供的上述材料反映的同一指标不一致的，以</w:t>
      </w:r>
      <w:r>
        <w:rPr>
          <w:rFonts w:hint="eastAsia" w:asciiTheme="majorEastAsia" w:hAnsiTheme="majorEastAsia" w:eastAsiaTheme="majorEastAsia" w:cstheme="majorEastAsia"/>
          <w:color w:val="auto"/>
          <w:sz w:val="24"/>
          <w:szCs w:val="24"/>
          <w:lang w:val="en-US"/>
        </w:rPr>
        <w:t>监理合同所载</w:t>
      </w:r>
      <w:r>
        <w:rPr>
          <w:rFonts w:hint="eastAsia" w:asciiTheme="majorEastAsia" w:hAnsiTheme="majorEastAsia" w:eastAsiaTheme="majorEastAsia" w:cstheme="majorEastAsia"/>
          <w:color w:val="auto"/>
          <w:sz w:val="24"/>
          <w:szCs w:val="24"/>
        </w:rPr>
        <w:t>指标为准。</w:t>
      </w:r>
    </w:p>
    <w:p w14:paraId="13726A38">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3）总监理工程师相关业绩不是投标人承担的工程项目，不得作为总监理工程师类似工程业绩。</w:t>
      </w:r>
    </w:p>
    <w:p w14:paraId="3BEFD579">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rPr>
        <w:t>4</w:t>
      </w:r>
      <w:r>
        <w:rPr>
          <w:rFonts w:hint="eastAsia" w:asciiTheme="majorEastAsia" w:hAnsiTheme="majorEastAsia" w:eastAsiaTheme="majorEastAsia" w:cstheme="majorEastAsia"/>
          <w:color w:val="auto"/>
          <w:sz w:val="24"/>
          <w:szCs w:val="24"/>
        </w:rPr>
        <w:t>）总监理工程师发生过变更的，该工程的业绩属于变更后的总监理工程师，投标人应当提供经备案的总监理工程师变更证明。</w:t>
      </w:r>
    </w:p>
    <w:p w14:paraId="7CA50778">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）拟派总监理工程师以单份中标通知书（或单份直接发包证明）或单份监理合同所载为准。</w:t>
      </w:r>
    </w:p>
    <w:p w14:paraId="55D655B2">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）类似工程业绩需提供以下证明材料：需网上审核的资料（必须以原件扫描或电子证照录入“常州市工程交易系统”（7.0 系统）“主体库”，可以不提供原件）。</w:t>
      </w:r>
    </w:p>
    <w:p w14:paraId="38C74895">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①中标通知书（或直接发包证明）；</w:t>
      </w:r>
    </w:p>
    <w:p w14:paraId="4C77D324">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②监理合同；</w:t>
      </w:r>
    </w:p>
    <w:p w14:paraId="6AA5ACD1">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③工程竣工验收证明（竣工验收证明包括竣工验收记录单或竣工验收备案表，竣工验收记录单需经建设单位、施工单位、监理单位、设计单位四方签字并加盖公章；竣工验收备案表需由建设行政主管部门或其授权的职能部门核发）；</w:t>
      </w:r>
    </w:p>
    <w:p w14:paraId="31B66917">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④经备案的总监理工程师变更证明（如有）；</w:t>
      </w:r>
    </w:p>
    <w:p w14:paraId="18644897">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⑤能证明业绩真实性的辅助性材料。</w:t>
      </w:r>
    </w:p>
    <w:p w14:paraId="3483D5D0">
      <w:pPr>
        <w:pStyle w:val="20"/>
        <w:keepNext w:val="0"/>
        <w:keepLines w:val="0"/>
        <w:pageBreakBefore w:val="0"/>
        <w:widowControl/>
        <w:wordWrap/>
        <w:overflowPunct/>
        <w:topLinePunct w:val="0"/>
        <w:bidi w:val="0"/>
        <w:spacing w:line="360" w:lineRule="auto"/>
        <w:ind w:firstLine="482"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注：能证明业绩真实性的辅助性材料主要包括：</w:t>
      </w:r>
    </w:p>
    <w:p w14:paraId="4D22D245">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①提供经项目所在地建设行政主管部门或其授权的职能部门或公共资源交易中心加盖印章的中标通知书或直接发包证明，中标通知书或直接发包证明仅有二维码或未加盖印章则不能作为有效的真实性辅助性证明材料；</w:t>
      </w:r>
    </w:p>
    <w:p w14:paraId="3928E34F">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②提供类似业绩进场交易证明（进场交易证明必须由业绩项目所在地建设行政主管部门或其授权的职能部门或公共资源交易中心出具）；</w:t>
      </w:r>
    </w:p>
    <w:p w14:paraId="3DBCE760">
      <w:pPr>
        <w:pStyle w:val="20"/>
        <w:keepNext w:val="0"/>
        <w:keepLines w:val="0"/>
        <w:pageBreakBefore w:val="0"/>
        <w:widowControl/>
        <w:wordWrap/>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③提供类似业绩项目已录入全国建筑市场监管公共服务平台或江苏省建筑市场监管与诚信信息一体化平台的网页截图及相应查询网址，凡因投标人提供的信息不完整、不准确或其他任何原因导致无法登陆网站查询或验证的，该项真实性辅助性材料不予认可。</w:t>
      </w:r>
    </w:p>
    <w:p w14:paraId="7988EC5A">
      <w:pPr>
        <w:pStyle w:val="20"/>
        <w:keepNext w:val="0"/>
        <w:keepLines w:val="0"/>
        <w:pageBreakBefore w:val="0"/>
        <w:widowControl/>
        <w:wordWrap/>
        <w:overflowPunct/>
        <w:topLinePunct w:val="0"/>
        <w:bidi w:val="0"/>
        <w:spacing w:line="360" w:lineRule="auto"/>
        <w:ind w:firstLine="482" w:firstLineChars="200"/>
        <w:rPr>
          <w:rFonts w:hint="eastAsia" w:asciiTheme="majorEastAsia" w:hAnsiTheme="majorEastAsia" w:eastAsiaTheme="majorEastAsia" w:cstheme="majorEastAsia"/>
          <w:b/>
          <w:color w:val="auto"/>
          <w:sz w:val="24"/>
          <w:szCs w:val="24"/>
          <w:lang w:val="en-US"/>
        </w:rPr>
      </w:pPr>
      <w:r>
        <w:rPr>
          <w:rFonts w:hint="eastAsia" w:asciiTheme="majorEastAsia" w:hAnsiTheme="majorEastAsia" w:eastAsiaTheme="majorEastAsia" w:cstheme="majorEastAsia"/>
          <w:b/>
          <w:color w:val="auto"/>
          <w:sz w:val="24"/>
          <w:szCs w:val="24"/>
          <w:lang w:val="en-US"/>
        </w:rPr>
        <w:t>注：</w:t>
      </w:r>
    </w:p>
    <w:p w14:paraId="7D305B4F">
      <w:pPr>
        <w:pStyle w:val="20"/>
        <w:keepNext w:val="0"/>
        <w:keepLines w:val="0"/>
        <w:pageBreakBefore w:val="0"/>
        <w:widowControl/>
        <w:wordWrap/>
        <w:overflowPunct/>
        <w:topLinePunct w:val="0"/>
        <w:bidi w:val="0"/>
        <w:spacing w:line="360" w:lineRule="auto"/>
        <w:ind w:firstLine="482" w:firstLineChars="200"/>
        <w:rPr>
          <w:rFonts w:hint="eastAsia" w:asciiTheme="majorEastAsia" w:hAnsiTheme="majorEastAsia" w:eastAsiaTheme="majorEastAsia" w:cstheme="majorEastAsia"/>
          <w:b/>
          <w:color w:val="auto"/>
          <w:sz w:val="24"/>
          <w:szCs w:val="24"/>
          <w:lang w:val="en-US"/>
        </w:rPr>
      </w:pPr>
      <w:r>
        <w:rPr>
          <w:rFonts w:hint="eastAsia" w:asciiTheme="majorEastAsia" w:hAnsiTheme="majorEastAsia" w:eastAsiaTheme="majorEastAsia" w:cstheme="majorEastAsia"/>
          <w:b/>
          <w:color w:val="auto"/>
          <w:sz w:val="24"/>
          <w:szCs w:val="24"/>
          <w:lang w:val="en-US"/>
        </w:rPr>
        <w:t>1）投标人提供的类似工程业绩材料所示工程名称、监理单位信息能证明为同一工程项目，且时间顺序符合建设工程实际。如相关信息无法判断为同一工程项目，则须提供有权部门出具的变更证明资料。</w:t>
      </w:r>
    </w:p>
    <w:p w14:paraId="09CEC774">
      <w:pPr>
        <w:pStyle w:val="20"/>
        <w:keepNext w:val="0"/>
        <w:keepLines w:val="0"/>
        <w:pageBreakBefore w:val="0"/>
        <w:widowControl/>
        <w:wordWrap/>
        <w:overflowPunct/>
        <w:topLinePunct w:val="0"/>
        <w:bidi w:val="0"/>
        <w:spacing w:line="360" w:lineRule="auto"/>
        <w:ind w:firstLine="482" w:firstLineChars="200"/>
        <w:rPr>
          <w:rFonts w:hint="eastAsia" w:asciiTheme="majorEastAsia" w:hAnsiTheme="majorEastAsia" w:eastAsiaTheme="majorEastAsia" w:cstheme="majorEastAsia"/>
          <w:b/>
          <w:color w:val="auto"/>
          <w:sz w:val="24"/>
          <w:szCs w:val="24"/>
          <w:lang w:val="en-US"/>
        </w:rPr>
      </w:pPr>
      <w:r>
        <w:rPr>
          <w:rFonts w:hint="eastAsia" w:asciiTheme="majorEastAsia" w:hAnsiTheme="majorEastAsia" w:eastAsiaTheme="majorEastAsia" w:cstheme="majorEastAsia"/>
          <w:b/>
          <w:color w:val="auto"/>
          <w:sz w:val="24"/>
          <w:szCs w:val="24"/>
          <w:lang w:val="en-US"/>
        </w:rPr>
        <w:t>2）如投标人提供的类似工程业绩是联合体合同业绩，则投标人必须为合同联合体牵头人，且其在联合协议中承担的工作内容必须满足业绩相关指标要求，联合体牵头人需提供①类似工程业绩中联合体协议书②业绩项目建设单位出具的加盖建设单位公章的能反映相关指标的证明材料（若中标通知书（或直接发包证明）、监理合同、工程竣工验收证明能体现相关业绩指标的则无需提供建设单位出具的加盖建设单位公章的能反映相关指标的证明材料）。联合体其他成员单位业绩不予认可。</w:t>
      </w:r>
    </w:p>
    <w:p w14:paraId="30C65BB4">
      <w:pPr>
        <w:pStyle w:val="20"/>
        <w:keepNext w:val="0"/>
        <w:keepLines w:val="0"/>
        <w:pageBreakBefore w:val="0"/>
        <w:widowControl/>
        <w:wordWrap/>
        <w:overflowPunct/>
        <w:topLinePunct w:val="0"/>
        <w:bidi w:val="0"/>
        <w:spacing w:line="360" w:lineRule="auto"/>
        <w:ind w:firstLine="482" w:firstLineChars="200"/>
        <w:rPr>
          <w:rFonts w:hint="eastAsia" w:asciiTheme="majorEastAsia" w:hAnsiTheme="majorEastAsia" w:eastAsiaTheme="majorEastAsia" w:cstheme="majorEastAsia"/>
          <w:b/>
          <w:color w:val="auto"/>
          <w:sz w:val="24"/>
          <w:szCs w:val="24"/>
          <w:lang w:val="en-US"/>
        </w:rPr>
      </w:pPr>
      <w:r>
        <w:rPr>
          <w:rFonts w:hint="eastAsia" w:asciiTheme="majorEastAsia" w:hAnsiTheme="majorEastAsia" w:eastAsiaTheme="majorEastAsia" w:cstheme="majorEastAsia"/>
          <w:b/>
          <w:color w:val="auto"/>
          <w:sz w:val="24"/>
          <w:szCs w:val="24"/>
          <w:lang w:val="en-US"/>
        </w:rPr>
        <w:t>3）投标人提供的类似工程业绩证明材料必须能清晰地表明含有工程造价等需要明示的内容，没有明示造成无法确定的业绩，不予认可。</w:t>
      </w:r>
    </w:p>
    <w:p w14:paraId="61BDB7B2">
      <w:pPr>
        <w:pStyle w:val="20"/>
        <w:keepNext w:val="0"/>
        <w:keepLines w:val="0"/>
        <w:pageBreakBefore w:val="0"/>
        <w:widowControl/>
        <w:wordWrap/>
        <w:overflowPunct/>
        <w:topLinePunct w:val="0"/>
        <w:bidi w:val="0"/>
        <w:spacing w:line="360" w:lineRule="auto"/>
        <w:ind w:firstLine="482" w:firstLineChars="200"/>
        <w:rPr>
          <w:rFonts w:hint="eastAsia" w:asciiTheme="majorEastAsia" w:hAnsiTheme="majorEastAsia" w:eastAsiaTheme="majorEastAsia" w:cstheme="majorEastAsia"/>
          <w:b/>
          <w:color w:val="auto"/>
          <w:sz w:val="24"/>
          <w:szCs w:val="24"/>
          <w:lang w:val="en-US"/>
        </w:rPr>
      </w:pPr>
      <w:r>
        <w:rPr>
          <w:rFonts w:hint="eastAsia" w:asciiTheme="majorEastAsia" w:hAnsiTheme="majorEastAsia" w:eastAsiaTheme="majorEastAsia" w:cstheme="majorEastAsia"/>
          <w:b/>
          <w:color w:val="auto"/>
          <w:sz w:val="24"/>
          <w:szCs w:val="24"/>
          <w:lang w:val="en-US"/>
        </w:rPr>
        <w:t>4）类似项目业绩应当是投标人所提交的中华人民共和国境内（不含港澳台地区）的项目。</w:t>
      </w:r>
    </w:p>
    <w:p w14:paraId="2439AED9">
      <w:pPr>
        <w:pStyle w:val="20"/>
        <w:keepNext w:val="0"/>
        <w:keepLines w:val="0"/>
        <w:pageBreakBefore w:val="0"/>
        <w:widowControl/>
        <w:wordWrap/>
        <w:overflowPunct/>
        <w:topLinePunct w:val="0"/>
        <w:bidi w:val="0"/>
        <w:spacing w:line="360" w:lineRule="auto"/>
        <w:ind w:firstLine="482" w:firstLineChars="200"/>
        <w:rPr>
          <w:rFonts w:hint="eastAsia" w:asciiTheme="majorEastAsia" w:hAnsiTheme="majorEastAsia" w:eastAsiaTheme="majorEastAsia" w:cstheme="majorEastAsia"/>
          <w:b/>
          <w:color w:val="auto"/>
          <w:sz w:val="24"/>
          <w:szCs w:val="24"/>
          <w:lang w:val="en-US"/>
        </w:rPr>
      </w:pPr>
      <w:r>
        <w:rPr>
          <w:rFonts w:hint="eastAsia" w:asciiTheme="majorEastAsia" w:hAnsiTheme="majorEastAsia" w:eastAsiaTheme="majorEastAsia" w:cstheme="majorEastAsia"/>
          <w:b/>
          <w:color w:val="auto"/>
          <w:sz w:val="24"/>
          <w:szCs w:val="24"/>
          <w:lang w:val="en-US"/>
        </w:rPr>
        <w:t>5）总监理工程师相关业绩不是投标人承担的工程项目，不得作为总监理工程师类似工程业绩。</w:t>
      </w:r>
    </w:p>
    <w:p w14:paraId="7BBE9CB3">
      <w:pPr>
        <w:pStyle w:val="20"/>
        <w:keepNext w:val="0"/>
        <w:keepLines w:val="0"/>
        <w:pageBreakBefore w:val="0"/>
        <w:widowControl/>
        <w:wordWrap/>
        <w:overflowPunct/>
        <w:topLinePunct w:val="0"/>
        <w:bidi w:val="0"/>
        <w:spacing w:line="360" w:lineRule="auto"/>
        <w:ind w:firstLine="482" w:firstLineChars="200"/>
        <w:rPr>
          <w:rFonts w:hint="eastAsia" w:asciiTheme="majorEastAsia" w:hAnsiTheme="majorEastAsia" w:eastAsiaTheme="majorEastAsia" w:cstheme="majorEastAsia"/>
          <w:b/>
          <w:color w:val="auto"/>
          <w:sz w:val="24"/>
          <w:szCs w:val="24"/>
          <w:lang w:val="en-US" w:eastAsia="zh-CN"/>
        </w:rPr>
      </w:pPr>
      <w:r>
        <w:rPr>
          <w:rFonts w:hint="eastAsia" w:asciiTheme="majorEastAsia" w:hAnsiTheme="majorEastAsia" w:eastAsiaTheme="majorEastAsia" w:cstheme="majorEastAsia"/>
          <w:b/>
          <w:color w:val="auto"/>
          <w:sz w:val="24"/>
          <w:szCs w:val="24"/>
          <w:lang w:val="en-US"/>
        </w:rPr>
        <w:t>6）如相关业绩既是投标人承担的项目同时又是投标总监理工程师承担的项目，仅按最高得分项计分一次，不得重复计分</w:t>
      </w:r>
      <w:r>
        <w:rPr>
          <w:rFonts w:hint="eastAsia" w:asciiTheme="majorEastAsia" w:hAnsiTheme="majorEastAsia" w:eastAsiaTheme="majorEastAsia" w:cstheme="majorEastAsia"/>
          <w:b/>
          <w:color w:val="auto"/>
          <w:sz w:val="24"/>
          <w:szCs w:val="24"/>
          <w:lang w:val="en-US" w:eastAsia="zh-CN"/>
        </w:rPr>
        <w:t>。</w:t>
      </w:r>
    </w:p>
    <w:p w14:paraId="0A76AC84">
      <w:pPr>
        <w:pStyle w:val="20"/>
        <w:keepNext w:val="0"/>
        <w:keepLines w:val="0"/>
        <w:pageBreakBefore w:val="0"/>
        <w:widowControl/>
        <w:wordWrap/>
        <w:overflowPunct/>
        <w:topLinePunct w:val="0"/>
        <w:bidi w:val="0"/>
        <w:spacing w:line="360" w:lineRule="auto"/>
        <w:ind w:firstLine="482" w:firstLineChars="200"/>
        <w:rPr>
          <w:rFonts w:hint="eastAsia" w:asciiTheme="majorEastAsia" w:hAnsiTheme="majorEastAsia" w:eastAsiaTheme="majorEastAsia" w:cstheme="majorEastAsia"/>
          <w:b/>
          <w:color w:val="auto"/>
          <w:sz w:val="24"/>
          <w:szCs w:val="24"/>
          <w:lang w:val="en-US"/>
        </w:rPr>
      </w:pPr>
      <w:r>
        <w:rPr>
          <w:rFonts w:hint="eastAsia" w:asciiTheme="majorEastAsia" w:hAnsiTheme="majorEastAsia" w:eastAsiaTheme="majorEastAsia" w:cstheme="majorEastAsia"/>
          <w:b/>
          <w:color w:val="auto"/>
          <w:sz w:val="24"/>
          <w:szCs w:val="24"/>
          <w:lang w:val="en-US"/>
        </w:rPr>
        <w:t>7）投标人必须在投标文件制作工具的“投标人（项目负责人）类似工程业绩一览表”中选择已录入主体库的符合招标公告要求的类似工程业绩及证明材料，未选择或选择的内容不能满足招标公告要求的均不得分。</w:t>
      </w:r>
    </w:p>
    <w:p w14:paraId="0105373D">
      <w:pPr>
        <w:pStyle w:val="20"/>
        <w:keepNext w:val="0"/>
        <w:keepLines w:val="0"/>
        <w:pageBreakBefore w:val="0"/>
        <w:widowControl/>
        <w:wordWrap/>
        <w:overflowPunct/>
        <w:topLinePunct w:val="0"/>
        <w:bidi w:val="0"/>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lang w:val="en-US"/>
        </w:rPr>
        <w:t>五</w:t>
      </w:r>
      <w:r>
        <w:rPr>
          <w:rFonts w:hint="eastAsia" w:asciiTheme="majorEastAsia" w:hAnsiTheme="majorEastAsia" w:eastAsiaTheme="majorEastAsia" w:cstheme="majorEastAsia"/>
          <w:b/>
          <w:color w:val="auto"/>
          <w:sz w:val="24"/>
          <w:szCs w:val="24"/>
        </w:rPr>
        <w:t>、推荐中标候选人</w:t>
      </w:r>
    </w:p>
    <w:p w14:paraId="7F12FD60">
      <w:pPr>
        <w:pStyle w:val="20"/>
        <w:keepNext w:val="0"/>
        <w:keepLines w:val="0"/>
        <w:pageBreakBefore w:val="0"/>
        <w:widowControl/>
        <w:wordWrap/>
        <w:overflowPunct/>
        <w:topLinePunct w:val="0"/>
        <w:bidi w:val="0"/>
        <w:spacing w:line="360" w:lineRule="auto"/>
        <w:ind w:firstLine="6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rPr>
        <w:t>由评标委员会结合投标单位的投标报价、项目监理机构、拟投入现场的设备检测仪器、类似工程业绩等要素进行全面评审计分，总分值100分，得分最高者为第一中标候选人，其次为第二中标候选人，以此类推。 (若出现最高得分相同时，以投标报价低者为第一中标候选人</w:t>
      </w:r>
      <w:r>
        <w:rPr>
          <w:rFonts w:hint="eastAsia" w:asciiTheme="majorEastAsia" w:hAnsiTheme="majorEastAsia" w:eastAsiaTheme="majorEastAsia" w:cstheme="majorEastAsia"/>
          <w:color w:val="auto"/>
          <w:sz w:val="24"/>
          <w:szCs w:val="24"/>
          <w:highlight w:val="none"/>
        </w:rPr>
        <w:t xml:space="preserve">；如果出现最高得分相同，投标报价也相同时，则根据不见面开标系统中开标记录表顺序在不见面开标系统中抽签确定中标候选人)。 </w:t>
      </w:r>
    </w:p>
    <w:p w14:paraId="02890C91">
      <w:pPr>
        <w:spacing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在评标结束前，评标委员会应在“信用中国”</w:t>
      </w:r>
      <w:r>
        <w:rPr>
          <w:rFonts w:ascii="宋体" w:hAnsi="宋体" w:eastAsia="宋体" w:cs="宋体"/>
          <w:color w:val="auto"/>
          <w:kern w:val="0"/>
          <w:sz w:val="24"/>
          <w:szCs w:val="20"/>
        </w:rPr>
        <w:t xml:space="preserve"> (www.creditchina.gov.cn)网站上对拟推荐为“中标候选人”的信用情况进行查询。投标人正被列为失信被执行人等情形的，评标委员会不得推荐为“中标候选人”：取消拟推荐为“中标候选人”资格后，评标委员会应按评标排名进行依次递补</w:t>
      </w:r>
      <w:r>
        <w:rPr>
          <w:rFonts w:hint="eastAsia" w:ascii="宋体" w:hAnsi="宋体" w:eastAsia="宋体" w:cs="宋体"/>
          <w:color w:val="auto"/>
          <w:kern w:val="0"/>
          <w:sz w:val="24"/>
          <w:szCs w:val="20"/>
        </w:rPr>
        <w:t>。</w:t>
      </w:r>
    </w:p>
    <w:p w14:paraId="29ED2E34">
      <w:pPr>
        <w:pStyle w:val="20"/>
        <w:keepNext w:val="0"/>
        <w:keepLines w:val="0"/>
        <w:pageBreakBefore w:val="0"/>
        <w:widowControl/>
        <w:wordWrap/>
        <w:overflowPunct/>
        <w:topLinePunct w:val="0"/>
        <w:bidi w:val="0"/>
        <w:spacing w:line="360" w:lineRule="auto"/>
        <w:ind w:firstLine="6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说明：</w:t>
      </w:r>
    </w:p>
    <w:p w14:paraId="2B5ABD76">
      <w:pPr>
        <w:pStyle w:val="20"/>
        <w:keepNext w:val="0"/>
        <w:keepLines w:val="0"/>
        <w:pageBreakBefore w:val="0"/>
        <w:widowControl/>
        <w:wordWrap/>
        <w:overflowPunct/>
        <w:topLinePunct w:val="0"/>
        <w:bidi w:val="0"/>
        <w:spacing w:line="360" w:lineRule="auto"/>
        <w:ind w:firstLine="6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rPr>
        <w:t xml:space="preserve">1、本评标办法中的建设工程系列技术职称，是指设区的市级及以上人事主管部门或其授权的单位评审的工程系列专业技术职称； </w:t>
      </w:r>
    </w:p>
    <w:p w14:paraId="1733F60F">
      <w:pPr>
        <w:pStyle w:val="20"/>
        <w:keepNext w:val="0"/>
        <w:keepLines w:val="0"/>
        <w:pageBreakBefore w:val="0"/>
        <w:widowControl/>
        <w:wordWrap/>
        <w:overflowPunct/>
        <w:topLinePunct w:val="0"/>
        <w:bidi w:val="0"/>
        <w:spacing w:line="360" w:lineRule="auto"/>
        <w:ind w:firstLine="6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rPr>
        <w:t xml:space="preserve">2、本评标办法中所涉及各项原件均为原件扫描件（或电子证照），必须在投标截止时间前录入“ 常州市公共资源交易网”（7.0系统），未入库材料不得作为评审依据； </w:t>
      </w:r>
    </w:p>
    <w:p w14:paraId="5AF5F625">
      <w:pPr>
        <w:pStyle w:val="20"/>
        <w:keepNext w:val="0"/>
        <w:keepLines w:val="0"/>
        <w:pageBreakBefore w:val="0"/>
        <w:widowControl/>
        <w:wordWrap/>
        <w:overflowPunct/>
        <w:topLinePunct w:val="0"/>
        <w:bidi w:val="0"/>
        <w:spacing w:line="360" w:lineRule="auto"/>
        <w:ind w:firstLine="6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rPr>
        <w:t xml:space="preserve">3、投标人必须在投标文件制作工具的“投标人近年完成的类似工程情况表”中选择已录入诚信库的符合招标公告要求的类似工程业绩及证明材料，未选择或选择的内容不能满足招标公告要求的均不加分； </w:t>
      </w:r>
    </w:p>
    <w:p w14:paraId="38325BD7">
      <w:pPr>
        <w:pStyle w:val="20"/>
        <w:keepNext w:val="0"/>
        <w:keepLines w:val="0"/>
        <w:pageBreakBefore w:val="0"/>
        <w:widowControl/>
        <w:wordWrap/>
        <w:overflowPunct/>
        <w:topLinePunct w:val="0"/>
        <w:bidi w:val="0"/>
        <w:spacing w:line="360" w:lineRule="auto"/>
        <w:ind w:firstLine="6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rPr>
        <w:t>4、除总监理工程师以外的其他人员所需的执业资格证书、注册证书、职称证书、毕业证书等必须在投标截止时间前录入“常州市公共资源交易网”（7.0 系统）“投标所需材料”版块，未按要求入库不得作为评审依据。</w:t>
      </w:r>
    </w:p>
    <w:p w14:paraId="63202730">
      <w:pPr>
        <w:pStyle w:val="20"/>
        <w:keepNext w:val="0"/>
        <w:keepLines w:val="0"/>
        <w:pageBreakBefore w:val="0"/>
        <w:widowControl/>
        <w:wordWrap/>
        <w:overflowPunct/>
        <w:topLinePunct w:val="0"/>
        <w:bidi w:val="0"/>
        <w:spacing w:line="360" w:lineRule="auto"/>
        <w:ind w:firstLine="6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rPr>
        <w:t>5、评标程序：①符合性评审（包括符合性审查、形式审查、资格审查）；②清标；③其他评分评审；④经济标评审；⑤汇总得分；</w:t>
      </w:r>
      <w:r>
        <w:rPr>
          <w:rFonts w:hint="eastAsia" w:asciiTheme="majorEastAsia" w:hAnsiTheme="majorEastAsia" w:eastAsiaTheme="majorEastAsia" w:cstheme="majorEastAsia"/>
          <w:color w:val="auto"/>
          <w:sz w:val="24"/>
          <w:szCs w:val="24"/>
          <w:lang w:val="en-US" w:eastAsia="zh-CN"/>
        </w:rPr>
        <w:t>⑥</w:t>
      </w:r>
      <w:r>
        <w:rPr>
          <w:rFonts w:hint="eastAsia" w:asciiTheme="majorEastAsia" w:hAnsiTheme="majorEastAsia" w:eastAsiaTheme="majorEastAsia" w:cstheme="majorEastAsia"/>
          <w:color w:val="auto"/>
          <w:sz w:val="24"/>
          <w:szCs w:val="24"/>
          <w:lang w:val="en-US"/>
        </w:rPr>
        <w:t xml:space="preserve">推荐中标候选人。 </w:t>
      </w:r>
    </w:p>
    <w:p w14:paraId="771F2C04">
      <w:pPr>
        <w:pStyle w:val="20"/>
        <w:keepNext w:val="0"/>
        <w:keepLines w:val="0"/>
        <w:pageBreakBefore w:val="0"/>
        <w:widowControl/>
        <w:wordWrap/>
        <w:overflowPunct/>
        <w:topLinePunct w:val="0"/>
        <w:bidi w:val="0"/>
        <w:spacing w:line="360" w:lineRule="auto"/>
        <w:ind w:firstLine="6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rPr>
        <w:t xml:space="preserve">6、所有抽签均在唱标后、资格审查完成且清标结束，并经评标委员会所有评委签字认可确定有效标，由招标人代表进行抽取（在不见面系统内随机抽取）确定。 </w:t>
      </w:r>
    </w:p>
    <w:p w14:paraId="30CE6AC8">
      <w:pPr>
        <w:pStyle w:val="20"/>
        <w:keepNext w:val="0"/>
        <w:keepLines w:val="0"/>
        <w:pageBreakBefore w:val="0"/>
        <w:widowControl/>
        <w:wordWrap/>
        <w:overflowPunct/>
        <w:topLinePunct w:val="0"/>
        <w:bidi w:val="0"/>
        <w:spacing w:line="360" w:lineRule="auto"/>
        <w:ind w:firstLine="6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rPr>
        <w:t>7、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p>
    <w:p w14:paraId="2DA7BF3A">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75433F1B">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b/>
          <w:color w:val="auto"/>
          <w:sz w:val="32"/>
          <w:szCs w:val="32"/>
        </w:rPr>
      </w:pPr>
      <w:r>
        <w:rPr>
          <w:rFonts w:hint="eastAsia" w:ascii="宋体" w:hAnsi="宋体" w:eastAsia="宋体" w:cs="宋体"/>
          <w:b/>
          <w:color w:val="auto"/>
          <w:sz w:val="32"/>
          <w:szCs w:val="32"/>
        </w:rPr>
        <w:t>附件</w:t>
      </w:r>
      <w:r>
        <w:rPr>
          <w:rFonts w:hint="eastAsia" w:ascii="宋体" w:hAnsi="宋体" w:cs="宋体"/>
          <w:b/>
          <w:color w:val="auto"/>
          <w:sz w:val="32"/>
          <w:szCs w:val="32"/>
          <w:lang w:val="en-US" w:eastAsia="zh-CN"/>
        </w:rPr>
        <w:t>四</w:t>
      </w:r>
    </w:p>
    <w:p w14:paraId="3939C8F6">
      <w:pPr>
        <w:keepNext w:val="0"/>
        <w:keepLines w:val="0"/>
        <w:pageBreakBefore w:val="0"/>
        <w:widowControl/>
        <w:kinsoku w:val="0"/>
        <w:wordWrap/>
        <w:overflowPunct/>
        <w:autoSpaceDE w:val="0"/>
        <w:autoSpaceDN w:val="0"/>
        <w:bidi w:val="0"/>
        <w:adjustRightInd w:val="0"/>
        <w:snapToGrid w:val="0"/>
        <w:spacing w:line="360" w:lineRule="auto"/>
        <w:ind w:left="0" w:leftChars="0" w:right="0"/>
        <w:jc w:val="center"/>
        <w:textAlignment w:val="baseline"/>
        <w:rPr>
          <w:rFonts w:hint="eastAsia" w:ascii="宋体" w:hAnsi="宋体" w:eastAsia="宋体" w:cs="宋体"/>
          <w:b/>
          <w:bCs/>
          <w:color w:val="auto"/>
          <w:kern w:val="0"/>
          <w:sz w:val="32"/>
          <w:szCs w:val="32"/>
        </w:rPr>
      </w:pPr>
      <w:r>
        <w:rPr>
          <w:rFonts w:hint="eastAsia" w:ascii="宋体" w:hAnsi="宋体" w:eastAsia="宋体" w:cs="宋体"/>
          <w:b/>
          <w:bCs/>
          <w:color w:val="auto"/>
          <w:spacing w:val="14"/>
          <w:kern w:val="0"/>
          <w:sz w:val="32"/>
          <w:szCs w:val="32"/>
        </w:rPr>
        <w:t>项</w:t>
      </w:r>
      <w:r>
        <w:rPr>
          <w:rFonts w:hint="eastAsia" w:ascii="宋体" w:hAnsi="宋体" w:eastAsia="宋体" w:cs="宋体"/>
          <w:b/>
          <w:bCs/>
          <w:color w:val="auto"/>
          <w:spacing w:val="10"/>
          <w:kern w:val="0"/>
          <w:sz w:val="32"/>
          <w:szCs w:val="32"/>
        </w:rPr>
        <w:t>目情况及拟投入项目监理部人员承诺书</w:t>
      </w:r>
    </w:p>
    <w:p w14:paraId="7A7CD9B7">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工程名称：</w:t>
      </w:r>
    </w:p>
    <w:p w14:paraId="0C29C685">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工程地址：</w:t>
      </w:r>
    </w:p>
    <w:p w14:paraId="114EAF79">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工程造价：</w:t>
      </w:r>
    </w:p>
    <w:p w14:paraId="75E3AB34">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工程规模：</w:t>
      </w:r>
    </w:p>
    <w:p w14:paraId="160E0FCE">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监理单位：</w:t>
      </w:r>
    </w:p>
    <w:p w14:paraId="4F27ABB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spacing w:val="-1"/>
          <w:kern w:val="0"/>
          <w:sz w:val="24"/>
          <w:szCs w:val="24"/>
        </w:rPr>
        <w:t>项目情况及拟投入项目监理部人员一</w:t>
      </w:r>
      <w:r>
        <w:rPr>
          <w:rFonts w:hint="eastAsia" w:ascii="宋体" w:hAnsi="宋体" w:eastAsia="宋体" w:cs="宋体"/>
          <w:b/>
          <w:bCs/>
          <w:color w:val="auto"/>
          <w:kern w:val="0"/>
          <w:sz w:val="24"/>
          <w:szCs w:val="24"/>
        </w:rPr>
        <w:t>览表</w:t>
      </w:r>
    </w:p>
    <w:tbl>
      <w:tblPr>
        <w:tblStyle w:val="19"/>
        <w:tblW w:w="8783"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415"/>
        <w:gridCol w:w="1277"/>
        <w:gridCol w:w="1240"/>
        <w:gridCol w:w="461"/>
        <w:gridCol w:w="1931"/>
        <w:gridCol w:w="1466"/>
      </w:tblGrid>
      <w:tr w14:paraId="19675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93" w:type="dxa"/>
            <w:tcBorders>
              <w:top w:val="single" w:color="000000" w:sz="2" w:space="0"/>
              <w:left w:val="single" w:color="000000" w:sz="2" w:space="0"/>
              <w:bottom w:val="single" w:color="000000" w:sz="2" w:space="0"/>
              <w:right w:val="single" w:color="000000" w:sz="2" w:space="0"/>
            </w:tcBorders>
            <w:shd w:val="clear" w:color="auto" w:fill="auto"/>
          </w:tcPr>
          <w:p w14:paraId="0FE1AB6A">
            <w:pPr>
              <w:keepNext w:val="0"/>
              <w:keepLines w:val="0"/>
              <w:pageBreakBefore w:val="0"/>
              <w:widowControl/>
              <w:kinsoku w:val="0"/>
              <w:wordWrap/>
              <w:overflowPunct/>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1415" w:type="dxa"/>
            <w:tcBorders>
              <w:top w:val="single" w:color="000000" w:sz="2" w:space="0"/>
              <w:left w:val="single" w:color="000000" w:sz="2" w:space="0"/>
              <w:bottom w:val="single" w:color="000000" w:sz="2" w:space="0"/>
              <w:right w:val="single" w:color="000000" w:sz="2" w:space="0"/>
            </w:tcBorders>
            <w:shd w:val="clear" w:color="auto" w:fill="auto"/>
          </w:tcPr>
          <w:p w14:paraId="2F442386">
            <w:pPr>
              <w:keepNext w:val="0"/>
              <w:keepLines w:val="0"/>
              <w:pageBreakBefore w:val="0"/>
              <w:widowControl/>
              <w:kinsoku w:val="0"/>
              <w:wordWrap/>
              <w:overflowPunct/>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岗位</w:t>
            </w:r>
          </w:p>
        </w:tc>
        <w:tc>
          <w:tcPr>
            <w:tcW w:w="1277" w:type="dxa"/>
            <w:tcBorders>
              <w:top w:val="single" w:color="000000" w:sz="2" w:space="0"/>
              <w:left w:val="single" w:color="000000" w:sz="2" w:space="0"/>
              <w:bottom w:val="single" w:color="000000" w:sz="2" w:space="0"/>
              <w:right w:val="single" w:color="000000" w:sz="2" w:space="0"/>
            </w:tcBorders>
            <w:shd w:val="clear" w:color="auto" w:fill="auto"/>
          </w:tcPr>
          <w:p w14:paraId="5AFFB3AD">
            <w:pPr>
              <w:keepNext w:val="0"/>
              <w:keepLines w:val="0"/>
              <w:pageBreakBefore w:val="0"/>
              <w:widowControl/>
              <w:kinsoku w:val="0"/>
              <w:wordWrap/>
              <w:overflowPunct/>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职称</w:t>
            </w:r>
          </w:p>
        </w:tc>
        <w:tc>
          <w:tcPr>
            <w:tcW w:w="1701" w:type="dxa"/>
            <w:gridSpan w:val="2"/>
            <w:tcBorders>
              <w:top w:val="single" w:color="000000" w:sz="2" w:space="0"/>
              <w:left w:val="single" w:color="000000" w:sz="2" w:space="0"/>
              <w:bottom w:val="single" w:color="000000" w:sz="2" w:space="0"/>
              <w:right w:val="single" w:color="000000" w:sz="2" w:space="0"/>
            </w:tcBorders>
            <w:shd w:val="clear" w:color="auto" w:fill="auto"/>
          </w:tcPr>
          <w:p w14:paraId="57C4FD8D">
            <w:pPr>
              <w:keepNext w:val="0"/>
              <w:keepLines w:val="0"/>
              <w:pageBreakBefore w:val="0"/>
              <w:widowControl/>
              <w:kinsoku w:val="0"/>
              <w:wordWrap/>
              <w:overflowPunct/>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监理专业</w:t>
            </w:r>
          </w:p>
        </w:tc>
        <w:tc>
          <w:tcPr>
            <w:tcW w:w="1931" w:type="dxa"/>
            <w:tcBorders>
              <w:top w:val="single" w:color="000000" w:sz="2" w:space="0"/>
              <w:left w:val="single" w:color="000000" w:sz="2" w:space="0"/>
              <w:bottom w:val="single" w:color="000000" w:sz="2" w:space="0"/>
              <w:right w:val="single" w:color="000000" w:sz="2" w:space="0"/>
            </w:tcBorders>
            <w:shd w:val="clear" w:color="auto" w:fill="auto"/>
          </w:tcPr>
          <w:p w14:paraId="341586C8">
            <w:pPr>
              <w:keepNext w:val="0"/>
              <w:keepLines w:val="0"/>
              <w:pageBreakBefore w:val="0"/>
              <w:widowControl/>
              <w:kinsoku w:val="0"/>
              <w:wordWrap/>
              <w:overflowPunct/>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注册证书号</w:t>
            </w:r>
          </w:p>
        </w:tc>
        <w:tc>
          <w:tcPr>
            <w:tcW w:w="1466" w:type="dxa"/>
            <w:tcBorders>
              <w:top w:val="single" w:color="000000" w:sz="2" w:space="0"/>
              <w:left w:val="single" w:color="000000" w:sz="2" w:space="0"/>
              <w:bottom w:val="single" w:color="000000" w:sz="2" w:space="0"/>
              <w:right w:val="single" w:color="000000" w:sz="2" w:space="0"/>
            </w:tcBorders>
            <w:shd w:val="clear" w:color="auto" w:fill="auto"/>
          </w:tcPr>
          <w:p w14:paraId="3A67A69D">
            <w:pPr>
              <w:keepNext w:val="0"/>
              <w:keepLines w:val="0"/>
              <w:pageBreakBefore w:val="0"/>
              <w:widowControl/>
              <w:kinsoku w:val="0"/>
              <w:wordWrap/>
              <w:overflowPunct/>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在监工程数</w:t>
            </w:r>
          </w:p>
        </w:tc>
      </w:tr>
      <w:tr w14:paraId="4DBA5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3" w:type="dxa"/>
            <w:tcBorders>
              <w:top w:val="single" w:color="000000" w:sz="2" w:space="0"/>
              <w:left w:val="single" w:color="000000" w:sz="2" w:space="0"/>
              <w:bottom w:val="single" w:color="000000" w:sz="2" w:space="0"/>
              <w:right w:val="single" w:color="000000" w:sz="2" w:space="0"/>
            </w:tcBorders>
            <w:shd w:val="clear" w:color="auto" w:fill="auto"/>
          </w:tcPr>
          <w:p w14:paraId="78464E3D">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415" w:type="dxa"/>
            <w:tcBorders>
              <w:top w:val="single" w:color="000000" w:sz="2" w:space="0"/>
              <w:left w:val="single" w:color="000000" w:sz="2" w:space="0"/>
              <w:bottom w:val="single" w:color="000000" w:sz="2" w:space="0"/>
              <w:right w:val="single" w:color="000000" w:sz="2" w:space="0"/>
            </w:tcBorders>
            <w:shd w:val="clear" w:color="auto" w:fill="auto"/>
          </w:tcPr>
          <w:p w14:paraId="4FE8A8C9">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277" w:type="dxa"/>
            <w:tcBorders>
              <w:top w:val="single" w:color="000000" w:sz="2" w:space="0"/>
              <w:left w:val="single" w:color="000000" w:sz="2" w:space="0"/>
              <w:bottom w:val="single" w:color="000000" w:sz="2" w:space="0"/>
              <w:right w:val="single" w:color="000000" w:sz="2" w:space="0"/>
            </w:tcBorders>
            <w:shd w:val="clear" w:color="auto" w:fill="auto"/>
          </w:tcPr>
          <w:p w14:paraId="268A660C">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701" w:type="dxa"/>
            <w:gridSpan w:val="2"/>
            <w:tcBorders>
              <w:top w:val="single" w:color="000000" w:sz="2" w:space="0"/>
              <w:left w:val="single" w:color="000000" w:sz="2" w:space="0"/>
              <w:bottom w:val="single" w:color="000000" w:sz="2" w:space="0"/>
              <w:right w:val="single" w:color="000000" w:sz="2" w:space="0"/>
            </w:tcBorders>
            <w:shd w:val="clear" w:color="auto" w:fill="auto"/>
          </w:tcPr>
          <w:p w14:paraId="4D2FEDEC">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931" w:type="dxa"/>
            <w:tcBorders>
              <w:top w:val="single" w:color="000000" w:sz="2" w:space="0"/>
              <w:left w:val="single" w:color="000000" w:sz="2" w:space="0"/>
              <w:bottom w:val="single" w:color="000000" w:sz="2" w:space="0"/>
              <w:right w:val="single" w:color="000000" w:sz="2" w:space="0"/>
            </w:tcBorders>
            <w:shd w:val="clear" w:color="auto" w:fill="auto"/>
          </w:tcPr>
          <w:p w14:paraId="09D08B06">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466" w:type="dxa"/>
            <w:tcBorders>
              <w:top w:val="single" w:color="000000" w:sz="2" w:space="0"/>
              <w:left w:val="single" w:color="000000" w:sz="2" w:space="0"/>
              <w:bottom w:val="single" w:color="000000" w:sz="2" w:space="0"/>
              <w:right w:val="single" w:color="000000" w:sz="2" w:space="0"/>
            </w:tcBorders>
            <w:shd w:val="clear" w:color="auto" w:fill="auto"/>
          </w:tcPr>
          <w:p w14:paraId="1891613D">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r>
      <w:tr w14:paraId="49558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3" w:type="dxa"/>
            <w:tcBorders>
              <w:top w:val="single" w:color="000000" w:sz="2" w:space="0"/>
              <w:left w:val="single" w:color="000000" w:sz="2" w:space="0"/>
              <w:bottom w:val="single" w:color="000000" w:sz="2" w:space="0"/>
              <w:right w:val="single" w:color="000000" w:sz="2" w:space="0"/>
            </w:tcBorders>
            <w:shd w:val="clear" w:color="auto" w:fill="auto"/>
          </w:tcPr>
          <w:p w14:paraId="01EB1655">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415" w:type="dxa"/>
            <w:tcBorders>
              <w:top w:val="single" w:color="000000" w:sz="2" w:space="0"/>
              <w:left w:val="single" w:color="000000" w:sz="2" w:space="0"/>
              <w:bottom w:val="single" w:color="000000" w:sz="2" w:space="0"/>
              <w:right w:val="single" w:color="000000" w:sz="2" w:space="0"/>
            </w:tcBorders>
            <w:shd w:val="clear" w:color="auto" w:fill="auto"/>
          </w:tcPr>
          <w:p w14:paraId="7072E880">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277" w:type="dxa"/>
            <w:tcBorders>
              <w:top w:val="single" w:color="000000" w:sz="2" w:space="0"/>
              <w:left w:val="single" w:color="000000" w:sz="2" w:space="0"/>
              <w:bottom w:val="single" w:color="000000" w:sz="2" w:space="0"/>
              <w:right w:val="single" w:color="000000" w:sz="2" w:space="0"/>
            </w:tcBorders>
            <w:shd w:val="clear" w:color="auto" w:fill="auto"/>
          </w:tcPr>
          <w:p w14:paraId="05B34AA5">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701" w:type="dxa"/>
            <w:gridSpan w:val="2"/>
            <w:tcBorders>
              <w:top w:val="single" w:color="000000" w:sz="2" w:space="0"/>
              <w:left w:val="single" w:color="000000" w:sz="2" w:space="0"/>
              <w:bottom w:val="single" w:color="000000" w:sz="2" w:space="0"/>
              <w:right w:val="single" w:color="000000" w:sz="2" w:space="0"/>
            </w:tcBorders>
            <w:shd w:val="clear" w:color="auto" w:fill="auto"/>
          </w:tcPr>
          <w:p w14:paraId="12E972CC">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931" w:type="dxa"/>
            <w:tcBorders>
              <w:top w:val="single" w:color="000000" w:sz="2" w:space="0"/>
              <w:left w:val="single" w:color="000000" w:sz="2" w:space="0"/>
              <w:bottom w:val="single" w:color="000000" w:sz="2" w:space="0"/>
              <w:right w:val="single" w:color="000000" w:sz="2" w:space="0"/>
            </w:tcBorders>
            <w:shd w:val="clear" w:color="auto" w:fill="auto"/>
          </w:tcPr>
          <w:p w14:paraId="0FA0DD72">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466" w:type="dxa"/>
            <w:tcBorders>
              <w:top w:val="single" w:color="000000" w:sz="2" w:space="0"/>
              <w:left w:val="single" w:color="000000" w:sz="2" w:space="0"/>
              <w:bottom w:val="single" w:color="000000" w:sz="2" w:space="0"/>
              <w:right w:val="single" w:color="000000" w:sz="2" w:space="0"/>
            </w:tcBorders>
            <w:shd w:val="clear" w:color="auto" w:fill="auto"/>
          </w:tcPr>
          <w:p w14:paraId="680BBA61">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r>
      <w:tr w14:paraId="5D6C2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93" w:type="dxa"/>
            <w:tcBorders>
              <w:top w:val="single" w:color="000000" w:sz="2" w:space="0"/>
              <w:left w:val="single" w:color="000000" w:sz="2" w:space="0"/>
              <w:bottom w:val="single" w:color="000000" w:sz="2" w:space="0"/>
              <w:right w:val="single" w:color="000000" w:sz="2" w:space="0"/>
            </w:tcBorders>
            <w:shd w:val="clear" w:color="auto" w:fill="auto"/>
          </w:tcPr>
          <w:p w14:paraId="45B6E6B3">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415" w:type="dxa"/>
            <w:tcBorders>
              <w:top w:val="single" w:color="000000" w:sz="2" w:space="0"/>
              <w:left w:val="single" w:color="000000" w:sz="2" w:space="0"/>
              <w:bottom w:val="single" w:color="000000" w:sz="2" w:space="0"/>
              <w:right w:val="single" w:color="000000" w:sz="2" w:space="0"/>
            </w:tcBorders>
            <w:shd w:val="clear" w:color="auto" w:fill="auto"/>
          </w:tcPr>
          <w:p w14:paraId="1BA74372">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277" w:type="dxa"/>
            <w:tcBorders>
              <w:top w:val="single" w:color="000000" w:sz="2" w:space="0"/>
              <w:left w:val="single" w:color="000000" w:sz="2" w:space="0"/>
              <w:bottom w:val="single" w:color="000000" w:sz="2" w:space="0"/>
              <w:right w:val="single" w:color="000000" w:sz="2" w:space="0"/>
            </w:tcBorders>
            <w:shd w:val="clear" w:color="auto" w:fill="auto"/>
          </w:tcPr>
          <w:p w14:paraId="709D2ECF">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701" w:type="dxa"/>
            <w:gridSpan w:val="2"/>
            <w:tcBorders>
              <w:top w:val="single" w:color="000000" w:sz="2" w:space="0"/>
              <w:left w:val="single" w:color="000000" w:sz="2" w:space="0"/>
              <w:bottom w:val="single" w:color="000000" w:sz="2" w:space="0"/>
              <w:right w:val="single" w:color="000000" w:sz="2" w:space="0"/>
            </w:tcBorders>
            <w:shd w:val="clear" w:color="auto" w:fill="auto"/>
          </w:tcPr>
          <w:p w14:paraId="52692E9F">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931" w:type="dxa"/>
            <w:tcBorders>
              <w:top w:val="single" w:color="000000" w:sz="2" w:space="0"/>
              <w:left w:val="single" w:color="000000" w:sz="2" w:space="0"/>
              <w:bottom w:val="single" w:color="000000" w:sz="2" w:space="0"/>
              <w:right w:val="single" w:color="000000" w:sz="2" w:space="0"/>
            </w:tcBorders>
            <w:shd w:val="clear" w:color="auto" w:fill="auto"/>
          </w:tcPr>
          <w:p w14:paraId="11D68878">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466" w:type="dxa"/>
            <w:tcBorders>
              <w:top w:val="single" w:color="000000" w:sz="2" w:space="0"/>
              <w:left w:val="single" w:color="000000" w:sz="2" w:space="0"/>
              <w:bottom w:val="single" w:color="000000" w:sz="2" w:space="0"/>
              <w:right w:val="single" w:color="000000" w:sz="2" w:space="0"/>
            </w:tcBorders>
            <w:shd w:val="clear" w:color="auto" w:fill="auto"/>
          </w:tcPr>
          <w:p w14:paraId="00FD4B1C">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r>
      <w:tr w14:paraId="59BE2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93" w:type="dxa"/>
            <w:tcBorders>
              <w:top w:val="single" w:color="000000" w:sz="2" w:space="0"/>
              <w:left w:val="single" w:color="000000" w:sz="2" w:space="0"/>
              <w:bottom w:val="single" w:color="auto" w:sz="4" w:space="0"/>
              <w:right w:val="single" w:color="000000" w:sz="2" w:space="0"/>
            </w:tcBorders>
            <w:shd w:val="clear" w:color="auto" w:fill="auto"/>
          </w:tcPr>
          <w:p w14:paraId="40B82B28">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415" w:type="dxa"/>
            <w:tcBorders>
              <w:top w:val="single" w:color="000000" w:sz="2" w:space="0"/>
              <w:left w:val="single" w:color="000000" w:sz="2" w:space="0"/>
              <w:bottom w:val="single" w:color="000000" w:sz="2" w:space="0"/>
              <w:right w:val="single" w:color="000000" w:sz="2" w:space="0"/>
            </w:tcBorders>
            <w:shd w:val="clear" w:color="auto" w:fill="auto"/>
          </w:tcPr>
          <w:p w14:paraId="667BDD85">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277" w:type="dxa"/>
            <w:tcBorders>
              <w:top w:val="single" w:color="000000" w:sz="2" w:space="0"/>
              <w:left w:val="single" w:color="000000" w:sz="2" w:space="0"/>
              <w:bottom w:val="single" w:color="000000" w:sz="2" w:space="0"/>
              <w:right w:val="single" w:color="000000" w:sz="2" w:space="0"/>
            </w:tcBorders>
            <w:shd w:val="clear" w:color="auto" w:fill="auto"/>
          </w:tcPr>
          <w:p w14:paraId="40873208">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701" w:type="dxa"/>
            <w:gridSpan w:val="2"/>
            <w:tcBorders>
              <w:top w:val="single" w:color="000000" w:sz="2" w:space="0"/>
              <w:left w:val="single" w:color="000000" w:sz="2" w:space="0"/>
              <w:bottom w:val="single" w:color="000000" w:sz="2" w:space="0"/>
              <w:right w:val="single" w:color="000000" w:sz="2" w:space="0"/>
            </w:tcBorders>
            <w:shd w:val="clear" w:color="auto" w:fill="auto"/>
          </w:tcPr>
          <w:p w14:paraId="5F858443">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931" w:type="dxa"/>
            <w:tcBorders>
              <w:top w:val="single" w:color="000000" w:sz="2" w:space="0"/>
              <w:left w:val="single" w:color="000000" w:sz="2" w:space="0"/>
              <w:bottom w:val="single" w:color="000000" w:sz="2" w:space="0"/>
              <w:right w:val="single" w:color="000000" w:sz="2" w:space="0"/>
            </w:tcBorders>
            <w:shd w:val="clear" w:color="auto" w:fill="auto"/>
          </w:tcPr>
          <w:p w14:paraId="24445A58">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1466" w:type="dxa"/>
            <w:tcBorders>
              <w:top w:val="single" w:color="000000" w:sz="2" w:space="0"/>
              <w:left w:val="single" w:color="000000" w:sz="2" w:space="0"/>
              <w:bottom w:val="single" w:color="000000" w:sz="2" w:space="0"/>
              <w:right w:val="single" w:color="000000" w:sz="2" w:space="0"/>
            </w:tcBorders>
            <w:shd w:val="clear" w:color="auto" w:fill="auto"/>
          </w:tcPr>
          <w:p w14:paraId="3B1049D9">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r>
      <w:tr w14:paraId="2CFB8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E938B4">
            <w:pPr>
              <w:keepNext w:val="0"/>
              <w:keepLines w:val="0"/>
              <w:pageBreakBefore w:val="0"/>
              <w:widowControl/>
              <w:kinsoku w:val="0"/>
              <w:wordWrap/>
              <w:overflowPunct/>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企业信 用承诺</w:t>
            </w:r>
          </w:p>
        </w:tc>
        <w:tc>
          <w:tcPr>
            <w:tcW w:w="7790" w:type="dxa"/>
            <w:gridSpan w:val="6"/>
            <w:tcBorders>
              <w:top w:val="single" w:color="000000" w:sz="2" w:space="0"/>
              <w:left w:val="single" w:color="auto" w:sz="4" w:space="0"/>
              <w:bottom w:val="nil"/>
              <w:right w:val="single" w:color="000000" w:sz="2" w:space="0"/>
            </w:tcBorders>
            <w:shd w:val="clear" w:color="auto" w:fill="auto"/>
          </w:tcPr>
          <w:p w14:paraId="46BB3580">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上述填写内容完全真实有效，并完全符合本次招标公告、招标文件要求及工程承接的其他相关法律法规规定，若有瞒报或弄虚作假行为，企业自行承担由此所导致的一切不良后果。</w:t>
            </w:r>
          </w:p>
        </w:tc>
      </w:tr>
      <w:tr w14:paraId="71A51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993" w:type="dxa"/>
            <w:vMerge w:val="continue"/>
            <w:tcBorders>
              <w:top w:val="single" w:color="auto" w:sz="4" w:space="0"/>
              <w:left w:val="single" w:color="auto" w:sz="4" w:space="0"/>
              <w:bottom w:val="single" w:color="auto" w:sz="4" w:space="0"/>
              <w:right w:val="single" w:color="auto" w:sz="4" w:space="0"/>
            </w:tcBorders>
            <w:shd w:val="clear" w:color="auto" w:fill="auto"/>
          </w:tcPr>
          <w:p w14:paraId="48A141E4">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tc>
        <w:tc>
          <w:tcPr>
            <w:tcW w:w="3932" w:type="dxa"/>
            <w:gridSpan w:val="3"/>
            <w:tcBorders>
              <w:top w:val="nil"/>
              <w:left w:val="single" w:color="auto" w:sz="4" w:space="0"/>
              <w:bottom w:val="single" w:color="000000" w:sz="2" w:space="0"/>
              <w:right w:val="nil"/>
            </w:tcBorders>
            <w:shd w:val="clear" w:color="auto" w:fill="auto"/>
          </w:tcPr>
          <w:p w14:paraId="47BF37F6">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p w14:paraId="7B1D2B41">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企业盖章：</w:t>
            </w:r>
          </w:p>
          <w:p w14:paraId="34D6865F">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p w14:paraId="228D5F63">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企业法定代表人签字</w:t>
            </w:r>
            <w:r>
              <w:rPr>
                <w:rFonts w:hint="eastAsia" w:ascii="宋体" w:hAnsi="宋体" w:eastAsia="宋体" w:cs="宋体"/>
                <w:color w:val="auto"/>
                <w:kern w:val="0"/>
                <w:sz w:val="24"/>
                <w:szCs w:val="24"/>
                <w:lang w:val="en-US" w:eastAsia="zh-CN"/>
              </w:rPr>
              <w:t>或盖章</w:t>
            </w:r>
            <w:r>
              <w:rPr>
                <w:rFonts w:hint="eastAsia" w:ascii="宋体" w:hAnsi="宋体" w:eastAsia="宋体" w:cs="宋体"/>
                <w:color w:val="auto"/>
                <w:kern w:val="0"/>
                <w:sz w:val="24"/>
                <w:szCs w:val="24"/>
              </w:rPr>
              <w:t>：</w:t>
            </w:r>
          </w:p>
        </w:tc>
        <w:tc>
          <w:tcPr>
            <w:tcW w:w="3858" w:type="dxa"/>
            <w:gridSpan w:val="3"/>
            <w:tcBorders>
              <w:top w:val="nil"/>
              <w:left w:val="nil"/>
              <w:bottom w:val="single" w:color="000000" w:sz="2" w:space="0"/>
              <w:right w:val="single" w:color="000000" w:sz="2" w:space="0"/>
            </w:tcBorders>
            <w:shd w:val="clear" w:color="auto" w:fill="auto"/>
          </w:tcPr>
          <w:p w14:paraId="0599A90B">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p w14:paraId="4610F1B3">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p w14:paraId="0710F285">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left"/>
              <w:textAlignment w:val="baseline"/>
              <w:rPr>
                <w:rFonts w:hint="eastAsia" w:ascii="宋体" w:hAnsi="宋体" w:eastAsia="宋体" w:cs="宋体"/>
                <w:color w:val="auto"/>
                <w:kern w:val="0"/>
                <w:sz w:val="24"/>
                <w:szCs w:val="24"/>
              </w:rPr>
            </w:pPr>
          </w:p>
          <w:p w14:paraId="6E934DA6">
            <w:pPr>
              <w:keepNext w:val="0"/>
              <w:keepLines w:val="0"/>
              <w:pageBreakBefore w:val="0"/>
              <w:widowControl/>
              <w:kinsoku w:val="0"/>
              <w:wordWrap/>
              <w:overflowPunct/>
              <w:autoSpaceDE w:val="0"/>
              <w:autoSpaceDN w:val="0"/>
              <w:bidi w:val="0"/>
              <w:adjustRightInd w:val="0"/>
              <w:snapToGrid w:val="0"/>
              <w:spacing w:line="360" w:lineRule="auto"/>
              <w:ind w:right="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w:t>
            </w:r>
            <w:r>
              <w:rPr>
                <w:rFonts w:hint="eastAsia" w:ascii="宋体" w:hAnsi="宋体" w:eastAsia="宋体" w:cs="宋体"/>
                <w:color w:val="auto"/>
                <w:kern w:val="0"/>
                <w:sz w:val="24"/>
                <w:szCs w:val="24"/>
                <w:lang w:val="en-US" w:eastAsia="zh-CN"/>
              </w:rPr>
              <w:t>总监理工程师</w:t>
            </w:r>
            <w:r>
              <w:rPr>
                <w:rFonts w:hint="eastAsia" w:ascii="宋体" w:hAnsi="宋体" w:eastAsia="宋体" w:cs="宋体"/>
                <w:color w:val="auto"/>
                <w:kern w:val="0"/>
                <w:sz w:val="24"/>
                <w:szCs w:val="24"/>
              </w:rPr>
              <w:t>签字</w:t>
            </w:r>
            <w:r>
              <w:rPr>
                <w:rFonts w:hint="eastAsia" w:ascii="宋体" w:hAnsi="宋体" w:eastAsia="宋体" w:cs="宋体"/>
                <w:color w:val="auto"/>
                <w:kern w:val="0"/>
                <w:sz w:val="24"/>
                <w:szCs w:val="24"/>
                <w:lang w:val="en-US" w:eastAsia="zh-CN"/>
              </w:rPr>
              <w:t>或盖章</w:t>
            </w:r>
            <w:r>
              <w:rPr>
                <w:rFonts w:hint="eastAsia" w:ascii="宋体" w:hAnsi="宋体" w:eastAsia="宋体" w:cs="宋体"/>
                <w:color w:val="auto"/>
                <w:kern w:val="0"/>
                <w:sz w:val="24"/>
                <w:szCs w:val="24"/>
              </w:rPr>
              <w:t>：</w:t>
            </w:r>
          </w:p>
        </w:tc>
      </w:tr>
    </w:tbl>
    <w:p w14:paraId="4191F6B8">
      <w:pPr>
        <w:keepNext w:val="0"/>
        <w:keepLines w:val="0"/>
        <w:pageBreakBefore w:val="0"/>
        <w:widowControl/>
        <w:kinsoku w:val="0"/>
        <w:wordWrap/>
        <w:overflowPunct/>
        <w:autoSpaceDE w:val="0"/>
        <w:autoSpaceDN w:val="0"/>
        <w:bidi w:val="0"/>
        <w:adjustRightInd w:val="0"/>
        <w:snapToGrid w:val="0"/>
        <w:spacing w:line="360" w:lineRule="auto"/>
        <w:ind w:right="0" w:firstLine="6720" w:firstLineChars="28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   年  月  日</w:t>
      </w:r>
    </w:p>
    <w:p w14:paraId="16E3421D">
      <w:pPr>
        <w:pStyle w:val="11"/>
        <w:keepNext w:val="0"/>
        <w:keepLines w:val="0"/>
        <w:pageBreakBefore w:val="0"/>
        <w:wordWrap/>
        <w:overflowPunct/>
        <w:bidi w:val="0"/>
        <w:spacing w:line="360" w:lineRule="auto"/>
        <w:ind w:left="0" w:leftChars="0" w:right="0" w:firstLine="480"/>
        <w:rPr>
          <w:rFonts w:hint="eastAsia" w:ascii="宋体" w:hAnsi="宋体" w:eastAsia="宋体" w:cs="宋体"/>
          <w:color w:val="auto"/>
          <w:sz w:val="24"/>
          <w:szCs w:val="24"/>
        </w:rPr>
      </w:pPr>
    </w:p>
    <w:p w14:paraId="733C5D86">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center"/>
        <w:textAlignment w:val="baseline"/>
        <w:rPr>
          <w:rFonts w:hint="eastAsia" w:ascii="宋体" w:hAnsi="宋体" w:eastAsia="宋体" w:cs="宋体"/>
          <w:color w:val="auto"/>
          <w:spacing w:val="12"/>
          <w:kern w:val="0"/>
          <w:sz w:val="24"/>
          <w:szCs w:val="24"/>
        </w:rPr>
      </w:pPr>
    </w:p>
    <w:p w14:paraId="780A4D2E">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说明：本承诺书原件扫描件需上传至投标文件中，否则不作为资审依据。</w:t>
      </w:r>
    </w:p>
    <w:p w14:paraId="527223E0">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b/>
          <w:bCs/>
          <w:color w:val="auto"/>
          <w:kern w:val="0"/>
          <w:sz w:val="24"/>
          <w:szCs w:val="24"/>
        </w:rPr>
      </w:pPr>
    </w:p>
    <w:p w14:paraId="0946857F">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color w:val="auto"/>
          <w:kern w:val="0"/>
          <w:sz w:val="24"/>
          <w:szCs w:val="24"/>
        </w:rPr>
      </w:pPr>
    </w:p>
    <w:p w14:paraId="56402F7F">
      <w:pPr>
        <w:keepNext w:val="0"/>
        <w:keepLines w:val="0"/>
        <w:pageBreakBefore w:val="0"/>
        <w:wordWrap/>
        <w:overflowPunct/>
        <w:bidi w:val="0"/>
        <w:spacing w:line="360" w:lineRule="auto"/>
        <w:ind w:left="0" w:leftChars="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p>
    <w:p w14:paraId="5F71F8B7">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b/>
          <w:color w:val="auto"/>
          <w:sz w:val="32"/>
          <w:szCs w:val="32"/>
        </w:rPr>
      </w:pPr>
      <w:r>
        <w:rPr>
          <w:rFonts w:hint="eastAsia" w:ascii="宋体" w:hAnsi="宋体" w:eastAsia="宋体" w:cs="宋体"/>
          <w:color w:val="auto"/>
          <w:kern w:val="0"/>
          <w:sz w:val="32"/>
          <w:szCs w:val="32"/>
        </w:rPr>
        <w:t xml:space="preserve"> </w:t>
      </w:r>
      <w:r>
        <w:rPr>
          <w:rFonts w:hint="eastAsia" w:ascii="宋体" w:hAnsi="宋体" w:eastAsia="宋体" w:cs="宋体"/>
          <w:b/>
          <w:color w:val="auto"/>
          <w:sz w:val="32"/>
          <w:szCs w:val="32"/>
        </w:rPr>
        <w:t>附件</w:t>
      </w:r>
      <w:r>
        <w:rPr>
          <w:rFonts w:hint="eastAsia" w:ascii="宋体" w:hAnsi="宋体" w:cs="宋体"/>
          <w:b/>
          <w:color w:val="auto"/>
          <w:sz w:val="32"/>
          <w:szCs w:val="32"/>
          <w:lang w:val="en-US" w:eastAsia="zh-CN"/>
        </w:rPr>
        <w:t>五</w:t>
      </w:r>
    </w:p>
    <w:p w14:paraId="43A40C10">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493"/>
        <w:jc w:val="center"/>
        <w:textAlignment w:val="baseline"/>
        <w:rPr>
          <w:rFonts w:hint="eastAsia" w:ascii="宋体" w:hAnsi="宋体" w:eastAsia="宋体" w:cs="宋体"/>
          <w:b/>
          <w:bCs/>
          <w:color w:val="auto"/>
          <w:spacing w:val="12"/>
          <w:kern w:val="0"/>
          <w:sz w:val="32"/>
          <w:szCs w:val="32"/>
        </w:rPr>
      </w:pPr>
      <w:r>
        <w:rPr>
          <w:rFonts w:hint="eastAsia" w:ascii="宋体" w:hAnsi="宋体" w:eastAsia="宋体" w:cs="宋体"/>
          <w:b/>
          <w:bCs/>
          <w:color w:val="auto"/>
          <w:spacing w:val="12"/>
          <w:kern w:val="0"/>
          <w:sz w:val="32"/>
          <w:szCs w:val="32"/>
        </w:rPr>
        <w:t>监理机构主要管理人员配备要求</w:t>
      </w:r>
    </w:p>
    <w:p w14:paraId="6E40B21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施工阶段监理单位派驻到现场的监理人员(含总监)总人数应符合下表要求：</w:t>
      </w:r>
    </w:p>
    <w:tbl>
      <w:tblPr>
        <w:tblStyle w:val="19"/>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217"/>
        <w:gridCol w:w="2050"/>
        <w:gridCol w:w="4375"/>
      </w:tblGrid>
      <w:tr w14:paraId="23541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68"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E5282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spacing w:val="-9"/>
                <w:kern w:val="0"/>
                <w:sz w:val="24"/>
                <w:szCs w:val="24"/>
              </w:rPr>
              <w:t>岗</w:t>
            </w:r>
            <w:r>
              <w:rPr>
                <w:rFonts w:hint="eastAsia" w:ascii="宋体" w:hAnsi="宋体" w:eastAsia="宋体" w:cs="宋体"/>
                <w:color w:val="auto"/>
                <w:spacing w:val="-8"/>
                <w:kern w:val="0"/>
                <w:sz w:val="24"/>
                <w:szCs w:val="24"/>
              </w:rPr>
              <w:t>位</w:t>
            </w:r>
          </w:p>
        </w:tc>
        <w:tc>
          <w:tcPr>
            <w:tcW w:w="106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9E9166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spacing w:val="-2"/>
                <w:kern w:val="0"/>
                <w:sz w:val="24"/>
                <w:szCs w:val="24"/>
              </w:rPr>
              <w:t>人员</w:t>
            </w:r>
            <w:r>
              <w:rPr>
                <w:rFonts w:hint="eastAsia" w:ascii="宋体" w:hAnsi="宋体" w:eastAsia="宋体" w:cs="宋体"/>
                <w:color w:val="auto"/>
                <w:spacing w:val="-1"/>
                <w:kern w:val="0"/>
                <w:sz w:val="24"/>
                <w:szCs w:val="24"/>
              </w:rPr>
              <w:t>要求</w:t>
            </w:r>
          </w:p>
        </w:tc>
        <w:tc>
          <w:tcPr>
            <w:tcW w:w="2268"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F07C9E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spacing w:val="-2"/>
                <w:kern w:val="0"/>
                <w:sz w:val="24"/>
                <w:szCs w:val="24"/>
              </w:rPr>
              <w:t>持证</w:t>
            </w:r>
            <w:r>
              <w:rPr>
                <w:rFonts w:hint="eastAsia" w:ascii="宋体" w:hAnsi="宋体" w:eastAsia="宋体" w:cs="宋体"/>
                <w:color w:val="auto"/>
                <w:spacing w:val="-1"/>
                <w:kern w:val="0"/>
                <w:sz w:val="24"/>
                <w:szCs w:val="24"/>
              </w:rPr>
              <w:t>上岗要求</w:t>
            </w:r>
          </w:p>
        </w:tc>
      </w:tr>
      <w:tr w14:paraId="0EE1C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68"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88D77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spacing w:val="-4"/>
                <w:kern w:val="0"/>
                <w:sz w:val="24"/>
                <w:szCs w:val="24"/>
              </w:rPr>
              <w:t>总</w:t>
            </w:r>
            <w:r>
              <w:rPr>
                <w:rFonts w:hint="eastAsia" w:ascii="宋体" w:hAnsi="宋体" w:eastAsia="宋体" w:cs="宋体"/>
                <w:color w:val="auto"/>
                <w:spacing w:val="-3"/>
                <w:kern w:val="0"/>
                <w:sz w:val="24"/>
                <w:szCs w:val="24"/>
              </w:rPr>
              <w:t>监</w:t>
            </w:r>
            <w:r>
              <w:rPr>
                <w:rFonts w:hint="eastAsia" w:ascii="宋体" w:hAnsi="宋体" w:eastAsia="宋体" w:cs="宋体"/>
                <w:color w:val="auto"/>
                <w:spacing w:val="-2"/>
                <w:kern w:val="0"/>
                <w:sz w:val="24"/>
                <w:szCs w:val="24"/>
              </w:rPr>
              <w:t>理工程师</w:t>
            </w:r>
          </w:p>
        </w:tc>
        <w:tc>
          <w:tcPr>
            <w:tcW w:w="106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EC3F02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268"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E99EE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spacing w:val="-2"/>
                <w:kern w:val="0"/>
                <w:position w:val="29"/>
                <w:sz w:val="24"/>
                <w:szCs w:val="24"/>
              </w:rPr>
            </w:pPr>
            <w:r>
              <w:rPr>
                <w:rFonts w:hint="eastAsia" w:ascii="宋体" w:hAnsi="宋体" w:eastAsia="宋体" w:cs="宋体"/>
                <w:color w:val="auto"/>
                <w:spacing w:val="-4"/>
                <w:kern w:val="0"/>
                <w:position w:val="29"/>
                <w:sz w:val="24"/>
                <w:szCs w:val="24"/>
              </w:rPr>
              <w:t>国家注</w:t>
            </w:r>
            <w:r>
              <w:rPr>
                <w:rFonts w:hint="eastAsia" w:ascii="宋体" w:hAnsi="宋体" w:eastAsia="宋体" w:cs="宋体"/>
                <w:color w:val="auto"/>
                <w:spacing w:val="-3"/>
                <w:kern w:val="0"/>
                <w:position w:val="29"/>
                <w:sz w:val="24"/>
                <w:szCs w:val="24"/>
              </w:rPr>
              <w:t>册</w:t>
            </w:r>
            <w:r>
              <w:rPr>
                <w:rFonts w:hint="eastAsia" w:ascii="宋体" w:hAnsi="宋体" w:eastAsia="宋体" w:cs="宋体"/>
                <w:color w:val="auto"/>
                <w:spacing w:val="-2"/>
                <w:kern w:val="0"/>
                <w:position w:val="29"/>
                <w:sz w:val="24"/>
                <w:szCs w:val="24"/>
              </w:rPr>
              <w:t>监理工程师</w:t>
            </w:r>
          </w:p>
          <w:p w14:paraId="2FB61FB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spacing w:val="-2"/>
                <w:kern w:val="0"/>
                <w:sz w:val="24"/>
                <w:szCs w:val="24"/>
              </w:rPr>
              <w:t>(</w:t>
            </w:r>
            <w:r>
              <w:rPr>
                <w:rFonts w:hint="eastAsia" w:ascii="宋体" w:hAnsi="宋体" w:eastAsia="宋体" w:cs="宋体"/>
                <w:color w:val="auto"/>
                <w:spacing w:val="-1"/>
                <w:kern w:val="0"/>
                <w:sz w:val="24"/>
                <w:szCs w:val="24"/>
              </w:rPr>
              <w:t>注册专业</w:t>
            </w:r>
            <w:r>
              <w:rPr>
                <w:rFonts w:hint="eastAsia" w:ascii="宋体" w:hAnsi="宋体" w:cs="宋体"/>
                <w:color w:val="auto"/>
                <w:spacing w:val="-1"/>
                <w:kern w:val="0"/>
                <w:sz w:val="24"/>
                <w:szCs w:val="24"/>
                <w:lang w:val="en-US" w:eastAsia="zh-CN"/>
              </w:rPr>
              <w:t>市政公用</w:t>
            </w:r>
            <w:r>
              <w:rPr>
                <w:rFonts w:hint="eastAsia" w:ascii="宋体" w:hAnsi="宋体" w:eastAsia="宋体" w:cs="宋体"/>
                <w:color w:val="auto"/>
                <w:spacing w:val="-1"/>
                <w:kern w:val="0"/>
                <w:sz w:val="24"/>
                <w:szCs w:val="24"/>
              </w:rPr>
              <w:t>工程)</w:t>
            </w:r>
          </w:p>
        </w:tc>
      </w:tr>
      <w:tr w14:paraId="60653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68"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6B13D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spacing w:val="-2"/>
                <w:kern w:val="0"/>
                <w:sz w:val="24"/>
                <w:szCs w:val="24"/>
              </w:rPr>
              <w:t>拟配</w:t>
            </w:r>
            <w:r>
              <w:rPr>
                <w:rFonts w:hint="eastAsia" w:ascii="宋体" w:hAnsi="宋体" w:eastAsia="宋体" w:cs="宋体"/>
                <w:color w:val="auto"/>
                <w:spacing w:val="-1"/>
                <w:kern w:val="0"/>
                <w:sz w:val="24"/>
                <w:szCs w:val="24"/>
              </w:rPr>
              <w:t>备监理人员</w:t>
            </w:r>
          </w:p>
        </w:tc>
        <w:tc>
          <w:tcPr>
            <w:tcW w:w="106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BD3644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3</w:t>
            </w:r>
          </w:p>
        </w:tc>
        <w:tc>
          <w:tcPr>
            <w:tcW w:w="2268"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532D3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p>
        </w:tc>
      </w:tr>
      <w:tr w14:paraId="1CCD4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668"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218BEB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spacing w:val="-5"/>
                <w:kern w:val="0"/>
                <w:sz w:val="24"/>
                <w:szCs w:val="24"/>
              </w:rPr>
              <w:t>总</w:t>
            </w:r>
            <w:r>
              <w:rPr>
                <w:rFonts w:hint="eastAsia" w:ascii="宋体" w:hAnsi="宋体" w:eastAsia="宋体" w:cs="宋体"/>
                <w:color w:val="auto"/>
                <w:spacing w:val="-4"/>
                <w:kern w:val="0"/>
                <w:sz w:val="24"/>
                <w:szCs w:val="24"/>
              </w:rPr>
              <w:t>计</w:t>
            </w:r>
          </w:p>
        </w:tc>
        <w:tc>
          <w:tcPr>
            <w:tcW w:w="106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921EA5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4</w:t>
            </w:r>
          </w:p>
        </w:tc>
        <w:tc>
          <w:tcPr>
            <w:tcW w:w="2268"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2E67B3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color w:val="auto"/>
                <w:kern w:val="0"/>
                <w:sz w:val="24"/>
                <w:szCs w:val="24"/>
              </w:rPr>
            </w:pPr>
          </w:p>
        </w:tc>
      </w:tr>
    </w:tbl>
    <w:p w14:paraId="14B73E6F">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47DEEE62">
      <w:pPr>
        <w:pStyle w:val="23"/>
        <w:keepNext w:val="0"/>
        <w:keepLines w:val="0"/>
        <w:pageBreakBefore w:val="0"/>
        <w:widowControl/>
        <w:wordWrap/>
        <w:overflowPunct/>
        <w:bidi w:val="0"/>
        <w:spacing w:line="36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注：1、中标单位可根据工程实际需要及时投入人员，未经建设单位同意，不得更换上述人员，所有监理人员均须身体健康，年龄不得超过65周岁。（注：</w:t>
      </w:r>
      <w:r>
        <w:rPr>
          <w:rFonts w:hint="eastAsia" w:ascii="宋体" w:hAnsi="宋体" w:eastAsia="宋体" w:cs="宋体"/>
          <w:color w:val="auto"/>
          <w:sz w:val="24"/>
          <w:szCs w:val="24"/>
          <w:lang w:val="en-US" w:eastAsia="zh-CN"/>
        </w:rPr>
        <w:t xml:space="preserve">表中人员在本项目中不能 </w:t>
      </w:r>
    </w:p>
    <w:p w14:paraId="06EE7F34">
      <w:pPr>
        <w:pStyle w:val="23"/>
        <w:keepNext w:val="0"/>
        <w:keepLines w:val="0"/>
        <w:pageBreakBefore w:val="0"/>
        <w:widowControl/>
        <w:wordWrap/>
        <w:overflowPunct/>
        <w:bidi w:val="0"/>
        <w:spacing w:line="360" w:lineRule="auto"/>
        <w:ind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互相兼职</w:t>
      </w:r>
      <w:r>
        <w:rPr>
          <w:rFonts w:hint="eastAsia" w:ascii="宋体" w:hAnsi="宋体" w:eastAsia="宋体" w:cs="宋体"/>
          <w:color w:val="auto"/>
          <w:sz w:val="24"/>
          <w:szCs w:val="24"/>
        </w:rPr>
        <w:t>）</w:t>
      </w:r>
    </w:p>
    <w:p w14:paraId="77EF4C7A">
      <w:pPr>
        <w:pStyle w:val="23"/>
        <w:keepNext w:val="0"/>
        <w:keepLines w:val="0"/>
        <w:pageBreakBefore w:val="0"/>
        <w:widowControl/>
        <w:wordWrap/>
        <w:overflowPunct/>
        <w:bidi w:val="0"/>
        <w:spacing w:line="36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2、上述人员配置还需满足江苏省住房和城乡建设厅公告[2017]第35号文件规定。</w:t>
      </w:r>
    </w:p>
    <w:p w14:paraId="77A3A13F">
      <w:pPr>
        <w:pStyle w:val="11"/>
        <w:keepNext w:val="0"/>
        <w:keepLines w:val="0"/>
        <w:pageBreakBefore w:val="0"/>
        <w:wordWrap/>
        <w:overflowPunct/>
        <w:bidi w:val="0"/>
        <w:spacing w:line="360" w:lineRule="auto"/>
        <w:ind w:left="0" w:leftChars="0" w:right="0" w:firstLine="480"/>
        <w:rPr>
          <w:rFonts w:hint="eastAsia" w:ascii="宋体" w:hAnsi="宋体" w:eastAsia="宋体" w:cs="宋体"/>
          <w:color w:val="auto"/>
          <w:sz w:val="24"/>
          <w:szCs w:val="24"/>
        </w:rPr>
      </w:pPr>
    </w:p>
    <w:p w14:paraId="41FEA1F3">
      <w:pPr>
        <w:keepNext w:val="0"/>
        <w:keepLines w:val="0"/>
        <w:pageBreakBefore w:val="0"/>
        <w:wordWrap/>
        <w:overflowPunct/>
        <w:bidi w:val="0"/>
        <w:spacing w:line="360" w:lineRule="auto"/>
        <w:ind w:left="0" w:leftChars="0" w:right="0"/>
        <w:rPr>
          <w:rFonts w:hint="eastAsia" w:ascii="宋体" w:hAnsi="宋体" w:eastAsia="宋体" w:cs="宋体"/>
          <w:b/>
          <w:color w:val="auto"/>
          <w:sz w:val="32"/>
          <w:szCs w:val="32"/>
        </w:rPr>
      </w:pPr>
    </w:p>
    <w:p w14:paraId="4A487433">
      <w:pPr>
        <w:keepNext w:val="0"/>
        <w:keepLines w:val="0"/>
        <w:pageBreakBefore w:val="0"/>
        <w:wordWrap/>
        <w:overflowPunct/>
        <w:bidi w:val="0"/>
        <w:spacing w:line="360" w:lineRule="auto"/>
        <w:ind w:left="0" w:leftChars="0" w:right="0"/>
        <w:rPr>
          <w:rFonts w:hint="eastAsia" w:ascii="宋体" w:hAnsi="宋体" w:eastAsia="宋体" w:cs="宋体"/>
          <w:b/>
          <w:color w:val="auto"/>
          <w:sz w:val="32"/>
          <w:szCs w:val="32"/>
        </w:rPr>
        <w:sectPr>
          <w:pgSz w:w="11906" w:h="16838"/>
          <w:pgMar w:top="1134" w:right="1134" w:bottom="1134" w:left="1134" w:header="851" w:footer="992" w:gutter="0"/>
          <w:cols w:space="425" w:num="1"/>
          <w:docGrid w:type="lines" w:linePitch="312" w:charSpace="0"/>
        </w:sectPr>
      </w:pPr>
    </w:p>
    <w:p w14:paraId="140F6149">
      <w:pPr>
        <w:keepNext w:val="0"/>
        <w:keepLines w:val="0"/>
        <w:pageBreakBefore w:val="0"/>
        <w:wordWrap/>
        <w:overflowPunct/>
        <w:bidi w:val="0"/>
        <w:spacing w:line="360" w:lineRule="auto"/>
        <w:ind w:left="0" w:leftChars="0" w:right="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附件</w:t>
      </w:r>
      <w:r>
        <w:rPr>
          <w:rFonts w:hint="eastAsia" w:ascii="宋体" w:hAnsi="宋体" w:eastAsia="宋体" w:cs="宋体"/>
          <w:b/>
          <w:color w:val="auto"/>
          <w:sz w:val="32"/>
          <w:szCs w:val="32"/>
          <w:lang w:val="en-US" w:eastAsia="zh-CN"/>
        </w:rPr>
        <w:t>六</w:t>
      </w:r>
    </w:p>
    <w:p w14:paraId="2D7F7706">
      <w:pPr>
        <w:keepNext w:val="0"/>
        <w:keepLines w:val="0"/>
        <w:pageBreakBefore w:val="0"/>
        <w:widowControl/>
        <w:kinsoku w:val="0"/>
        <w:wordWrap/>
        <w:overflowPunct/>
        <w:autoSpaceDE w:val="0"/>
        <w:autoSpaceDN w:val="0"/>
        <w:bidi w:val="0"/>
        <w:adjustRightInd w:val="0"/>
        <w:snapToGrid w:val="0"/>
        <w:spacing w:line="360" w:lineRule="auto"/>
        <w:ind w:left="0" w:leftChars="0" w:right="0"/>
        <w:jc w:val="center"/>
        <w:textAlignment w:val="baseline"/>
        <w:rPr>
          <w:rFonts w:hint="eastAsia" w:ascii="宋体" w:hAnsi="宋体" w:eastAsia="宋体" w:cs="宋体"/>
          <w:b/>
          <w:bCs/>
          <w:color w:val="auto"/>
          <w:kern w:val="0"/>
          <w:sz w:val="32"/>
          <w:szCs w:val="32"/>
        </w:rPr>
      </w:pPr>
      <w:r>
        <w:rPr>
          <w:rFonts w:hint="eastAsia" w:ascii="宋体" w:hAnsi="宋体" w:eastAsia="宋体" w:cs="宋体"/>
          <w:b/>
          <w:bCs/>
          <w:color w:val="auto"/>
          <w:spacing w:val="10"/>
          <w:kern w:val="0"/>
          <w:sz w:val="32"/>
          <w:szCs w:val="32"/>
        </w:rPr>
        <w:t>投</w:t>
      </w:r>
      <w:r>
        <w:rPr>
          <w:rFonts w:hint="eastAsia" w:ascii="宋体" w:hAnsi="宋体" w:eastAsia="宋体" w:cs="宋体"/>
          <w:b/>
          <w:bCs/>
          <w:color w:val="auto"/>
          <w:spacing w:val="8"/>
          <w:kern w:val="0"/>
          <w:sz w:val="32"/>
          <w:szCs w:val="32"/>
        </w:rPr>
        <w:t>标人信用承诺书</w:t>
      </w:r>
    </w:p>
    <w:p w14:paraId="5BDEA54E">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color w:val="auto"/>
          <w:kern w:val="0"/>
          <w:sz w:val="24"/>
          <w:szCs w:val="24"/>
        </w:rPr>
      </w:pPr>
    </w:p>
    <w:p w14:paraId="0A286189">
      <w:pPr>
        <w:keepNext w:val="0"/>
        <w:keepLines w:val="0"/>
        <w:pageBreakBefore w:val="0"/>
        <w:widowControl/>
        <w:kinsoku w:val="0"/>
        <w:wordWrap/>
        <w:overflowPunct/>
        <w:autoSpaceDE w:val="0"/>
        <w:autoSpaceDN w:val="0"/>
        <w:bidi w:val="0"/>
        <w:adjustRightInd w:val="0"/>
        <w:snapToGrid w:val="0"/>
        <w:spacing w:line="360" w:lineRule="auto"/>
        <w:ind w:left="0" w:leftChars="0" w:right="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致： ___________________________ (招标人名称)</w:t>
      </w:r>
    </w:p>
    <w:p w14:paraId="4319887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我单位参与贵单位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工程项目的投标，我单位及我单位法定代表人，均清楚知晓我单位本项目投标活动，我方郑重承诺：</w:t>
      </w:r>
    </w:p>
    <w:p w14:paraId="1A6EC55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1、我方遵循公开、公平、公正和诚实信用的原则，依法依规参与本项目的招投标活动。</w:t>
      </w:r>
    </w:p>
    <w:p w14:paraId="2D98330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2、我方拟派总监理工程师、监理人员完全响应本项目招标文件要求。</w:t>
      </w:r>
    </w:p>
    <w:p w14:paraId="0E74E1E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3、我方不存在近3年内有行贿犯罪行为且被记录；法定代表人和总监理工程师均不存在近5年内有行贿犯罪行为且被记录。</w:t>
      </w:r>
    </w:p>
    <w:p w14:paraId="75B1246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4、我方及我方拟派的总监理工程师不存在被“信用中国”网站列为失信被执行人的情形。</w:t>
      </w:r>
    </w:p>
    <w:p w14:paraId="653C785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5、我方在投标全过程（含异议、投诉环节）提供的所有资料均是真实、有效、合法的，无弄虚作假行为。</w:t>
      </w:r>
    </w:p>
    <w:p w14:paraId="400BF40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6、我方及我方法定代表人在本项目招标投标活动中，完全响应及认可招标文件（含答疑及补充等），均不存在、也未参与任何围标串标活动，也不存在以他人名义投标的行为，没有出借资质等违法违规行为。</w:t>
      </w:r>
    </w:p>
    <w:p w14:paraId="1E98380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我方将负责提前检查电力供应、网络环境和远程开标会议有关设施、设备的稳定性和安全性。开标评标过程中，我方将坚持全程参加开评标会议，积极响应招标人的指令和操作要求，不擅离职守，始终保持通讯顺畅，因我方原因导致 20分钟内无法与管理端建立起联系的，即视为放弃交互的权利，我方认可招标人处置决定，接受包括终止投标资格在内的处理结果。</w:t>
      </w:r>
    </w:p>
    <w:p w14:paraId="7552A36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8、我方财务和经营状况良好，具备履行合同能力，未处于被责令停业、投标资格被取消或者财产被接管、冻结和破产状态。</w:t>
      </w:r>
    </w:p>
    <w:p w14:paraId="1B98C1E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9、我方在招投标期间，如果涉及异议或投诉，将严格按照法律法规规章及规范性文件的规定执行，否则，招标人或有关行政监督部门可以不予受理。</w:t>
      </w:r>
    </w:p>
    <w:p w14:paraId="3373222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10、我方如果涉及异议或投诉，将由本单位法定代表人在异议或投诉书中真实署名并实际参与招标人或有关行政监督部门的质询。</w:t>
      </w:r>
    </w:p>
    <w:p w14:paraId="4010803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承诺内容包括但不限于以上条款，若我方违反上述任意承诺条款、本招标文件的约定及法律、法规、规章、规范性文件规定的相关内容，提供与事实不符的虚假材料，我方愿意接受招标人、相关监督部门作出的包括但不限于被取消投标或中标（候选人）资格、投标保证金不予退还、实施不良行为记录、限制投标、公开曝光及相关的行政处理、处罚。</w:t>
      </w:r>
    </w:p>
    <w:p w14:paraId="52894CD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pacing w:val="14"/>
          <w:kern w:val="0"/>
          <w:sz w:val="24"/>
          <w:szCs w:val="24"/>
        </w:rPr>
      </w:pPr>
      <w:r>
        <w:rPr>
          <w:rFonts w:hint="eastAsia" w:ascii="宋体" w:hAnsi="宋体" w:eastAsia="宋体" w:cs="宋体"/>
          <w:color w:val="auto"/>
          <w:kern w:val="0"/>
          <w:sz w:val="24"/>
          <w:szCs w:val="24"/>
        </w:rPr>
        <w:t>本承诺书一经签订即作为中标合同的组成部分，对本单位参与本项目招投标活动的行为具有法律约束力。</w:t>
      </w:r>
    </w:p>
    <w:p w14:paraId="408DBFB6">
      <w:pPr>
        <w:keepNext w:val="0"/>
        <w:keepLines w:val="0"/>
        <w:pageBreakBefore w:val="0"/>
        <w:widowControl/>
        <w:kinsoku w:val="0"/>
        <w:wordWrap/>
        <w:overflowPunct/>
        <w:autoSpaceDE w:val="0"/>
        <w:autoSpaceDN w:val="0"/>
        <w:bidi w:val="0"/>
        <w:adjustRightInd w:val="0"/>
        <w:snapToGrid w:val="0"/>
        <w:spacing w:line="360" w:lineRule="auto"/>
        <w:ind w:left="0" w:leftChars="0" w:right="0" w:firstLine="1202"/>
        <w:jc w:val="left"/>
        <w:textAlignment w:val="baseline"/>
        <w:rPr>
          <w:rFonts w:hint="eastAsia" w:ascii="宋体" w:hAnsi="宋体" w:eastAsia="宋体" w:cs="宋体"/>
          <w:color w:val="auto"/>
          <w:spacing w:val="14"/>
          <w:kern w:val="0"/>
          <w:sz w:val="24"/>
          <w:szCs w:val="24"/>
        </w:rPr>
      </w:pPr>
    </w:p>
    <w:p w14:paraId="5CC8E3E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144" w:firstLineChars="80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spacing w:val="14"/>
          <w:kern w:val="0"/>
          <w:sz w:val="24"/>
          <w:szCs w:val="24"/>
          <w:lang w:val="en-US" w:eastAsia="zh-CN"/>
        </w:rPr>
        <w:t xml:space="preserve">    </w:t>
      </w:r>
      <w:r>
        <w:rPr>
          <w:rFonts w:hint="eastAsia" w:ascii="宋体" w:hAnsi="宋体" w:eastAsia="宋体" w:cs="宋体"/>
          <w:color w:val="auto"/>
          <w:spacing w:val="14"/>
          <w:kern w:val="0"/>
          <w:sz w:val="24"/>
          <w:szCs w:val="24"/>
        </w:rPr>
        <w:t>投</w:t>
      </w:r>
      <w:r>
        <w:rPr>
          <w:rFonts w:hint="eastAsia" w:ascii="宋体" w:hAnsi="宋体" w:eastAsia="宋体" w:cs="宋体"/>
          <w:color w:val="auto"/>
          <w:spacing w:val="11"/>
          <w:kern w:val="0"/>
          <w:sz w:val="24"/>
          <w:szCs w:val="24"/>
        </w:rPr>
        <w:t>标人(盖章)：</w:t>
      </w:r>
      <w:r>
        <w:rPr>
          <w:rFonts w:hint="eastAsia" w:ascii="宋体" w:hAnsi="宋体" w:eastAsia="宋体" w:cs="宋体"/>
          <w:color w:val="auto"/>
          <w:kern w:val="0"/>
          <w:sz w:val="24"/>
          <w:szCs w:val="24"/>
        </w:rPr>
        <w:t xml:space="preserve">                 </w:t>
      </w:r>
    </w:p>
    <w:p w14:paraId="3420965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064" w:firstLineChars="80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spacing w:val="9"/>
          <w:kern w:val="0"/>
          <w:sz w:val="24"/>
          <w:szCs w:val="24"/>
          <w:lang w:val="en-US" w:eastAsia="zh-CN"/>
        </w:rPr>
        <w:t xml:space="preserve">             </w:t>
      </w:r>
      <w:r>
        <w:rPr>
          <w:rFonts w:hint="eastAsia" w:ascii="宋体" w:hAnsi="宋体" w:eastAsia="宋体" w:cs="宋体"/>
          <w:color w:val="auto"/>
          <w:spacing w:val="9"/>
          <w:kern w:val="0"/>
          <w:sz w:val="24"/>
          <w:szCs w:val="24"/>
        </w:rPr>
        <w:t>法</w:t>
      </w:r>
      <w:r>
        <w:rPr>
          <w:rFonts w:hint="eastAsia" w:ascii="宋体" w:hAnsi="宋体" w:eastAsia="宋体" w:cs="宋体"/>
          <w:color w:val="auto"/>
          <w:spacing w:val="7"/>
          <w:kern w:val="0"/>
          <w:sz w:val="24"/>
          <w:szCs w:val="24"/>
        </w:rPr>
        <w:t>定代表人(签字或盖章)：</w:t>
      </w:r>
      <w:r>
        <w:rPr>
          <w:rFonts w:hint="eastAsia" w:ascii="宋体" w:hAnsi="宋体" w:eastAsia="宋体" w:cs="宋体"/>
          <w:color w:val="auto"/>
          <w:kern w:val="0"/>
          <w:sz w:val="24"/>
          <w:szCs w:val="24"/>
        </w:rPr>
        <w:t xml:space="preserve"> </w:t>
      </w:r>
    </w:p>
    <w:p w14:paraId="284BB88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1728" w:firstLineChars="800"/>
        <w:jc w:val="center"/>
        <w:textAlignment w:val="baseline"/>
        <w:rPr>
          <w:rFonts w:hint="eastAsia" w:ascii="宋体" w:hAnsi="宋体" w:eastAsia="宋体" w:cs="宋体"/>
          <w:color w:val="auto"/>
          <w:kern w:val="0"/>
          <w:sz w:val="24"/>
          <w:szCs w:val="24"/>
        </w:rPr>
      </w:pPr>
      <w:r>
        <w:rPr>
          <w:rFonts w:hint="eastAsia" w:ascii="宋体" w:hAnsi="宋体" w:eastAsia="宋体" w:cs="宋体"/>
          <w:color w:val="auto"/>
          <w:spacing w:val="-12"/>
          <w:kern w:val="0"/>
          <w:sz w:val="24"/>
          <w:szCs w:val="24"/>
          <w:lang w:val="en-US" w:eastAsia="zh-CN"/>
        </w:rPr>
        <w:t xml:space="preserve">                    </w:t>
      </w:r>
      <w:r>
        <w:rPr>
          <w:rFonts w:hint="eastAsia" w:ascii="宋体" w:hAnsi="宋体" w:eastAsia="宋体" w:cs="宋体"/>
          <w:color w:val="auto"/>
          <w:spacing w:val="-12"/>
          <w:kern w:val="0"/>
          <w:sz w:val="24"/>
          <w:szCs w:val="24"/>
        </w:rPr>
        <w:t>日</w:t>
      </w:r>
      <w:r>
        <w:rPr>
          <w:rFonts w:hint="eastAsia" w:ascii="宋体" w:hAnsi="宋体" w:eastAsia="宋体" w:cs="宋体"/>
          <w:color w:val="auto"/>
          <w:spacing w:val="-10"/>
          <w:kern w:val="0"/>
          <w:sz w:val="24"/>
          <w:szCs w:val="24"/>
        </w:rPr>
        <w:t>期</w:t>
      </w:r>
      <w:r>
        <w:rPr>
          <w:rFonts w:hint="eastAsia" w:ascii="宋体" w:hAnsi="宋体" w:eastAsia="宋体" w:cs="宋体"/>
          <w:color w:val="auto"/>
          <w:spacing w:val="-6"/>
          <w:kern w:val="0"/>
          <w:sz w:val="24"/>
          <w:szCs w:val="24"/>
        </w:rPr>
        <w:t>：     年    月     日</w:t>
      </w:r>
    </w:p>
    <w:p w14:paraId="5898E9BB">
      <w:pPr>
        <w:keepNext w:val="0"/>
        <w:keepLines w:val="0"/>
        <w:pageBreakBefore w:val="0"/>
        <w:wordWrap/>
        <w:overflowPunct/>
        <w:bidi w:val="0"/>
        <w:spacing w:line="360" w:lineRule="auto"/>
        <w:ind w:left="0" w:leftChars="0" w:right="0"/>
        <w:rPr>
          <w:rFonts w:hint="eastAsia" w:ascii="宋体" w:hAnsi="宋体" w:eastAsia="宋体" w:cs="宋体"/>
          <w:b/>
          <w:color w:val="auto"/>
          <w:sz w:val="24"/>
          <w:szCs w:val="24"/>
          <w:lang w:val="en-US" w:eastAsia="zh-CN"/>
        </w:rPr>
      </w:pPr>
    </w:p>
    <w:p w14:paraId="0ECC9436">
      <w:pPr>
        <w:keepNext w:val="0"/>
        <w:keepLines w:val="0"/>
        <w:pageBreakBefore w:val="0"/>
        <w:wordWrap/>
        <w:overflowPunct/>
        <w:bidi w:val="0"/>
        <w:spacing w:line="360" w:lineRule="auto"/>
        <w:ind w:left="0" w:leftChars="0" w:right="0"/>
        <w:rPr>
          <w:rFonts w:hint="eastAsia" w:ascii="宋体" w:hAnsi="宋体" w:eastAsia="宋体" w:cs="宋体"/>
          <w:b/>
          <w:color w:val="auto"/>
          <w:sz w:val="24"/>
          <w:szCs w:val="24"/>
          <w:lang w:val="en-US" w:eastAsia="zh-CN"/>
        </w:rPr>
      </w:pPr>
    </w:p>
    <w:p w14:paraId="229B1372">
      <w:pPr>
        <w:keepNext w:val="0"/>
        <w:keepLines w:val="0"/>
        <w:pageBreakBefore w:val="0"/>
        <w:wordWrap/>
        <w:overflowPunct/>
        <w:bidi w:val="0"/>
        <w:spacing w:line="360" w:lineRule="auto"/>
        <w:ind w:left="0" w:leftChars="0" w:right="0"/>
        <w:rPr>
          <w:rFonts w:hint="eastAsia" w:ascii="宋体" w:hAnsi="宋体" w:eastAsia="宋体" w:cs="宋体"/>
          <w:b/>
          <w:color w:val="auto"/>
          <w:sz w:val="24"/>
          <w:szCs w:val="24"/>
          <w:lang w:val="en-US" w:eastAsia="zh-CN"/>
        </w:rPr>
      </w:pPr>
    </w:p>
    <w:p w14:paraId="674D7680">
      <w:pPr>
        <w:keepNext w:val="0"/>
        <w:keepLines w:val="0"/>
        <w:pageBreakBefore w:val="0"/>
        <w:wordWrap/>
        <w:overflowPunct/>
        <w:bidi w:val="0"/>
        <w:spacing w:line="360" w:lineRule="auto"/>
        <w:ind w:left="0" w:leftChars="0" w:right="0"/>
        <w:rPr>
          <w:rFonts w:hint="eastAsia" w:ascii="宋体" w:hAnsi="宋体" w:eastAsia="宋体" w:cs="宋体"/>
          <w:b/>
          <w:color w:val="auto"/>
          <w:sz w:val="24"/>
          <w:szCs w:val="24"/>
          <w:lang w:val="en-US" w:eastAsia="zh-CN"/>
        </w:rPr>
      </w:pPr>
    </w:p>
    <w:p w14:paraId="355DA274">
      <w:pPr>
        <w:keepNext w:val="0"/>
        <w:keepLines w:val="0"/>
        <w:pageBreakBefore w:val="0"/>
        <w:wordWrap/>
        <w:overflowPunct/>
        <w:bidi w:val="0"/>
        <w:spacing w:line="360" w:lineRule="auto"/>
        <w:ind w:left="0" w:leftChars="0" w:right="0"/>
        <w:rPr>
          <w:rFonts w:hint="eastAsia" w:ascii="宋体" w:hAnsi="宋体" w:eastAsia="宋体" w:cs="宋体"/>
          <w:b/>
          <w:color w:val="auto"/>
          <w:sz w:val="24"/>
          <w:szCs w:val="24"/>
          <w:lang w:val="en-US" w:eastAsia="zh-CN"/>
        </w:rPr>
      </w:pPr>
    </w:p>
    <w:p w14:paraId="76415DBD">
      <w:pPr>
        <w:keepNext w:val="0"/>
        <w:keepLines w:val="0"/>
        <w:pageBreakBefore w:val="0"/>
        <w:wordWrap/>
        <w:overflowPunct/>
        <w:bidi w:val="0"/>
        <w:spacing w:line="360" w:lineRule="auto"/>
        <w:ind w:left="0" w:leftChars="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p>
    <w:p w14:paraId="75BE9C36">
      <w:pPr>
        <w:rPr>
          <w:rFonts w:hint="eastAsia" w:eastAsia="宋体"/>
          <w:b/>
          <w:color w:val="auto"/>
          <w:sz w:val="32"/>
          <w:szCs w:val="32"/>
          <w:highlight w:val="none"/>
          <w:lang w:eastAsia="zh-CN"/>
        </w:rPr>
      </w:pPr>
      <w:r>
        <w:rPr>
          <w:rFonts w:hint="eastAsia"/>
          <w:b/>
          <w:color w:val="auto"/>
          <w:sz w:val="32"/>
          <w:szCs w:val="32"/>
          <w:highlight w:val="none"/>
        </w:rPr>
        <w:t>附件</w:t>
      </w:r>
      <w:r>
        <w:rPr>
          <w:rFonts w:hint="eastAsia"/>
          <w:b/>
          <w:color w:val="auto"/>
          <w:sz w:val="32"/>
          <w:szCs w:val="32"/>
          <w:highlight w:val="none"/>
          <w:lang w:val="en-US" w:eastAsia="zh-CN"/>
        </w:rPr>
        <w:t>七</w:t>
      </w:r>
    </w:p>
    <w:p w14:paraId="26331F8B">
      <w:pPr>
        <w:jc w:val="center"/>
        <w:rPr>
          <w:rFonts w:hint="eastAsia"/>
          <w:b/>
          <w:color w:val="auto"/>
          <w:sz w:val="32"/>
          <w:szCs w:val="32"/>
          <w:highlight w:val="none"/>
        </w:rPr>
      </w:pPr>
      <w:r>
        <w:rPr>
          <w:rFonts w:hint="eastAsia"/>
          <w:b/>
          <w:color w:val="auto"/>
          <w:sz w:val="32"/>
          <w:szCs w:val="32"/>
          <w:highlight w:val="none"/>
        </w:rPr>
        <w:t>投标保证金信用承诺书</w:t>
      </w:r>
    </w:p>
    <w:p w14:paraId="3D00AFD4">
      <w:pPr>
        <w:jc w:val="center"/>
        <w:rPr>
          <w:rFonts w:hint="eastAsia"/>
          <w:b/>
          <w:color w:val="auto"/>
          <w:sz w:val="28"/>
          <w:szCs w:val="28"/>
          <w:highlight w:val="none"/>
        </w:rPr>
      </w:pPr>
    </w:p>
    <w:p w14:paraId="27BBA0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w:t>
      </w:r>
      <w:r>
        <w:rPr>
          <w:rFonts w:hint="eastAsia" w:ascii="宋体" w:hAnsi="宋体" w:eastAsia="宋体" w:cs="宋体"/>
          <w:color w:val="auto"/>
          <w:sz w:val="24"/>
          <w:szCs w:val="24"/>
          <w:highlight w:val="none"/>
          <w:lang w:val="en-US" w:eastAsia="zh-CN"/>
        </w:rPr>
        <w:t>本</w:t>
      </w:r>
      <w:r>
        <w:rPr>
          <w:rFonts w:hint="eastAsia" w:ascii="宋体" w:hAnsi="宋体" w:eastAsia="宋体" w:cs="宋体"/>
          <w:bCs/>
          <w:color w:val="auto"/>
          <w:sz w:val="24"/>
          <w:szCs w:val="24"/>
          <w:highlight w:val="none"/>
        </w:rPr>
        <w:t>项目招标文件要求，本公司符合以信用承诺替代投标保证金的情形，现自愿作出以下承诺，并愿意承担相应责任与风险。</w:t>
      </w:r>
    </w:p>
    <w:p w14:paraId="6DB2F1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招投标过程中，本单位如违反法律、法规及招标文件规定，存在不予退还投标保证金情形行为的，本单位承诺按所投项目招标文件规定的投标保证金金额向招标人给付相关款项。未及时给付的,自愿接受如下处理,且不提出任何异议:</w:t>
      </w:r>
    </w:p>
    <w:p w14:paraId="06C66D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列入失信行为记录，并且自记录之日起至保证金兑付之日止，参与省内其他投标活动时，均以现金方式从投标人基本存款账户缴纳投标保证金，否则视同未提交投标保证金。</w:t>
      </w:r>
    </w:p>
    <w:p w14:paraId="473373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p>
    <w:p w14:paraId="56C88544">
      <w:pPr>
        <w:keepNext w:val="0"/>
        <w:keepLines w:val="0"/>
        <w:pageBreakBefore w:val="0"/>
        <w:widowControl w:val="0"/>
        <w:kinsoku/>
        <w:wordWrap/>
        <w:overflowPunct/>
        <w:topLinePunct w:val="0"/>
        <w:autoSpaceDE/>
        <w:autoSpaceDN/>
        <w:bidi w:val="0"/>
        <w:adjustRightInd/>
        <w:snapToGrid/>
        <w:spacing w:line="360" w:lineRule="auto"/>
        <w:ind w:firstLine="4560" w:firstLineChars="19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承诺人：(加盖公章或电子签章）</w:t>
      </w:r>
    </w:p>
    <w:p w14:paraId="2FDAFB2F">
      <w:pPr>
        <w:keepNext w:val="0"/>
        <w:keepLines w:val="0"/>
        <w:pageBreakBefore w:val="0"/>
        <w:widowControl w:val="0"/>
        <w:kinsoku/>
        <w:wordWrap/>
        <w:overflowPunct/>
        <w:topLinePunct w:val="0"/>
        <w:autoSpaceDE/>
        <w:autoSpaceDN/>
        <w:bidi w:val="0"/>
        <w:adjustRightInd/>
        <w:snapToGrid/>
        <w:spacing w:line="360" w:lineRule="auto"/>
        <w:ind w:firstLine="4560" w:firstLineChars="19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   年   月   日</w:t>
      </w:r>
    </w:p>
    <w:p w14:paraId="488BDBFA">
      <w:pPr>
        <w:pStyle w:val="11"/>
        <w:keepNext w:val="0"/>
        <w:keepLines w:val="0"/>
        <w:pageBreakBefore w:val="0"/>
        <w:wordWrap/>
        <w:overflowPunct/>
        <w:bidi w:val="0"/>
        <w:spacing w:line="360" w:lineRule="auto"/>
        <w:ind w:left="0" w:leftChars="0" w:right="0" w:firstLine="480"/>
        <w:rPr>
          <w:rFonts w:hint="eastAsia" w:ascii="宋体" w:hAnsi="宋体" w:eastAsia="宋体" w:cs="宋体"/>
          <w:color w:val="auto"/>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0000000000000000000"/>
    <w:charset w:val="7A"/>
    <w:family w:val="roman"/>
    <w:pitch w:val="default"/>
    <w:sig w:usb0="00000000" w:usb1="00000000" w:usb2="00000016" w:usb3="00000000" w:csb0="000600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9B104">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MzUxZjY5YzA4NWZhMjRjYmU2YzVlMGVkMjdmNGEifQ=="/>
  </w:docVars>
  <w:rsids>
    <w:rsidRoot w:val="00000000"/>
    <w:rsid w:val="001820D9"/>
    <w:rsid w:val="00DD75D2"/>
    <w:rsid w:val="017F3A89"/>
    <w:rsid w:val="036B7036"/>
    <w:rsid w:val="047D34C5"/>
    <w:rsid w:val="04846D6D"/>
    <w:rsid w:val="06141C07"/>
    <w:rsid w:val="0676641E"/>
    <w:rsid w:val="07577829"/>
    <w:rsid w:val="08975A73"/>
    <w:rsid w:val="08B2737B"/>
    <w:rsid w:val="08B94B8F"/>
    <w:rsid w:val="09524F20"/>
    <w:rsid w:val="0A945031"/>
    <w:rsid w:val="0BE65DF4"/>
    <w:rsid w:val="0E19753E"/>
    <w:rsid w:val="0EB977F0"/>
    <w:rsid w:val="0FD3668F"/>
    <w:rsid w:val="0FFF2388"/>
    <w:rsid w:val="10B21E22"/>
    <w:rsid w:val="11BD75F7"/>
    <w:rsid w:val="126805E3"/>
    <w:rsid w:val="128C2F65"/>
    <w:rsid w:val="12D76496"/>
    <w:rsid w:val="12E13552"/>
    <w:rsid w:val="12EC0194"/>
    <w:rsid w:val="13693592"/>
    <w:rsid w:val="137B5074"/>
    <w:rsid w:val="137B5A5A"/>
    <w:rsid w:val="14E32370"/>
    <w:rsid w:val="14FB3F6A"/>
    <w:rsid w:val="168C5417"/>
    <w:rsid w:val="16956095"/>
    <w:rsid w:val="17312619"/>
    <w:rsid w:val="17696E04"/>
    <w:rsid w:val="186C02C4"/>
    <w:rsid w:val="18940F92"/>
    <w:rsid w:val="19206F08"/>
    <w:rsid w:val="194B67FF"/>
    <w:rsid w:val="1968609A"/>
    <w:rsid w:val="197A63D2"/>
    <w:rsid w:val="199164AF"/>
    <w:rsid w:val="1A13022B"/>
    <w:rsid w:val="1A266185"/>
    <w:rsid w:val="1BEE6D2B"/>
    <w:rsid w:val="1CC9080E"/>
    <w:rsid w:val="1D5E32FC"/>
    <w:rsid w:val="1D823A2C"/>
    <w:rsid w:val="1DB573D4"/>
    <w:rsid w:val="1DC51D0D"/>
    <w:rsid w:val="1DF409A0"/>
    <w:rsid w:val="1E1F3450"/>
    <w:rsid w:val="1E2B1699"/>
    <w:rsid w:val="1E346CF2"/>
    <w:rsid w:val="1ED04403"/>
    <w:rsid w:val="1F2D2F0F"/>
    <w:rsid w:val="1FD20711"/>
    <w:rsid w:val="2017225D"/>
    <w:rsid w:val="202A22FB"/>
    <w:rsid w:val="21224FEE"/>
    <w:rsid w:val="21846654"/>
    <w:rsid w:val="2218079B"/>
    <w:rsid w:val="2519649B"/>
    <w:rsid w:val="266B4E43"/>
    <w:rsid w:val="26AA1185"/>
    <w:rsid w:val="272B5640"/>
    <w:rsid w:val="27E134C6"/>
    <w:rsid w:val="283C1C7E"/>
    <w:rsid w:val="2A005E7B"/>
    <w:rsid w:val="2A7F552D"/>
    <w:rsid w:val="2B631F9F"/>
    <w:rsid w:val="2BC82F3A"/>
    <w:rsid w:val="2C8C0643"/>
    <w:rsid w:val="2CE12A4B"/>
    <w:rsid w:val="2D045C82"/>
    <w:rsid w:val="2D0B5263"/>
    <w:rsid w:val="2E036EF9"/>
    <w:rsid w:val="2E0B53DC"/>
    <w:rsid w:val="30B67293"/>
    <w:rsid w:val="31210628"/>
    <w:rsid w:val="31C418C9"/>
    <w:rsid w:val="320C360F"/>
    <w:rsid w:val="323C0424"/>
    <w:rsid w:val="339578EF"/>
    <w:rsid w:val="33BB0E14"/>
    <w:rsid w:val="33FC5905"/>
    <w:rsid w:val="348C64B1"/>
    <w:rsid w:val="35505B62"/>
    <w:rsid w:val="36050807"/>
    <w:rsid w:val="36511F38"/>
    <w:rsid w:val="36535252"/>
    <w:rsid w:val="367421E6"/>
    <w:rsid w:val="368B6F9F"/>
    <w:rsid w:val="37191876"/>
    <w:rsid w:val="38683569"/>
    <w:rsid w:val="38A21F1B"/>
    <w:rsid w:val="3A6C5593"/>
    <w:rsid w:val="3B911029"/>
    <w:rsid w:val="3C406CD7"/>
    <w:rsid w:val="3C4A2B9F"/>
    <w:rsid w:val="3F0264C5"/>
    <w:rsid w:val="3F081602"/>
    <w:rsid w:val="3F935E11"/>
    <w:rsid w:val="3FE93D39"/>
    <w:rsid w:val="411A73CB"/>
    <w:rsid w:val="42470693"/>
    <w:rsid w:val="42EB256B"/>
    <w:rsid w:val="4354422F"/>
    <w:rsid w:val="44E87F0C"/>
    <w:rsid w:val="4530540F"/>
    <w:rsid w:val="45B95404"/>
    <w:rsid w:val="46923006"/>
    <w:rsid w:val="469C6ED8"/>
    <w:rsid w:val="46EC05D8"/>
    <w:rsid w:val="4705784A"/>
    <w:rsid w:val="48F618EF"/>
    <w:rsid w:val="49311755"/>
    <w:rsid w:val="49E277C7"/>
    <w:rsid w:val="4BA81E94"/>
    <w:rsid w:val="4BEE4235"/>
    <w:rsid w:val="4CAF7775"/>
    <w:rsid w:val="4FB8672C"/>
    <w:rsid w:val="4FCB2904"/>
    <w:rsid w:val="4FEF697B"/>
    <w:rsid w:val="51052890"/>
    <w:rsid w:val="52AC7053"/>
    <w:rsid w:val="53A96AB8"/>
    <w:rsid w:val="545A24A8"/>
    <w:rsid w:val="54B73456"/>
    <w:rsid w:val="54DB2EDD"/>
    <w:rsid w:val="559C3F16"/>
    <w:rsid w:val="5630526E"/>
    <w:rsid w:val="56D86478"/>
    <w:rsid w:val="57AA1051"/>
    <w:rsid w:val="584D35F3"/>
    <w:rsid w:val="58EE6B19"/>
    <w:rsid w:val="593D63D2"/>
    <w:rsid w:val="594B0611"/>
    <w:rsid w:val="596B0550"/>
    <w:rsid w:val="59FF2336"/>
    <w:rsid w:val="5AD14B46"/>
    <w:rsid w:val="5C070D11"/>
    <w:rsid w:val="5C52446F"/>
    <w:rsid w:val="5D6E4AE7"/>
    <w:rsid w:val="5E13189F"/>
    <w:rsid w:val="5E336236"/>
    <w:rsid w:val="5E916AC6"/>
    <w:rsid w:val="5F775CBC"/>
    <w:rsid w:val="5F7E0DDA"/>
    <w:rsid w:val="5FB54A36"/>
    <w:rsid w:val="601A189F"/>
    <w:rsid w:val="609D5BF6"/>
    <w:rsid w:val="60DF1D6B"/>
    <w:rsid w:val="611063C8"/>
    <w:rsid w:val="61C8087A"/>
    <w:rsid w:val="61D90EB0"/>
    <w:rsid w:val="62783913"/>
    <w:rsid w:val="634B7B8C"/>
    <w:rsid w:val="63974B7F"/>
    <w:rsid w:val="63A32E98"/>
    <w:rsid w:val="641B566B"/>
    <w:rsid w:val="66325478"/>
    <w:rsid w:val="66503748"/>
    <w:rsid w:val="66542594"/>
    <w:rsid w:val="667967BE"/>
    <w:rsid w:val="6703252B"/>
    <w:rsid w:val="6787202D"/>
    <w:rsid w:val="67E556C5"/>
    <w:rsid w:val="682D0F46"/>
    <w:rsid w:val="68A81205"/>
    <w:rsid w:val="68E603D5"/>
    <w:rsid w:val="692A1FF1"/>
    <w:rsid w:val="69524E67"/>
    <w:rsid w:val="69817394"/>
    <w:rsid w:val="69DB153D"/>
    <w:rsid w:val="6B0510F0"/>
    <w:rsid w:val="6BA6514F"/>
    <w:rsid w:val="6DC20A4A"/>
    <w:rsid w:val="6E430774"/>
    <w:rsid w:val="6F2B261F"/>
    <w:rsid w:val="6FD72214"/>
    <w:rsid w:val="71306613"/>
    <w:rsid w:val="72192F52"/>
    <w:rsid w:val="727147ED"/>
    <w:rsid w:val="7278653E"/>
    <w:rsid w:val="72965F01"/>
    <w:rsid w:val="7375666E"/>
    <w:rsid w:val="739E33B8"/>
    <w:rsid w:val="74574FBF"/>
    <w:rsid w:val="75E663D6"/>
    <w:rsid w:val="75E97BB2"/>
    <w:rsid w:val="769F401E"/>
    <w:rsid w:val="76AF1D88"/>
    <w:rsid w:val="76AF7FDA"/>
    <w:rsid w:val="77DF044B"/>
    <w:rsid w:val="7A234F45"/>
    <w:rsid w:val="7AC34054"/>
    <w:rsid w:val="7B973A2E"/>
    <w:rsid w:val="7BE656D4"/>
    <w:rsid w:val="7C6D4BC4"/>
    <w:rsid w:val="7E37799B"/>
    <w:rsid w:val="7E867872"/>
    <w:rsid w:val="7EA22793"/>
    <w:rsid w:val="7F0D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line="360" w:lineRule="auto"/>
    </w:pPr>
    <w:rPr>
      <w:rFonts w:ascii="仿宋_GB2312" w:hAnsi="仿宋_GB2312" w:eastAsia="宋体"/>
      <w:sz w:val="28"/>
      <w:szCs w:val="20"/>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rFonts w:ascii="宋体" w:hAnsi="宋体" w:cs="宋体"/>
      <w:sz w:val="24"/>
    </w:rPr>
  </w:style>
  <w:style w:type="paragraph" w:styleId="7">
    <w:name w:val="Body Text First Indent"/>
    <w:basedOn w:val="3"/>
    <w:qFormat/>
    <w:uiPriority w:val="0"/>
    <w:pPr>
      <w:ind w:firstLine="420" w:firstLineChars="100"/>
    </w:pPr>
  </w:style>
  <w:style w:type="character" w:styleId="10">
    <w:name w:val="Hyperlink"/>
    <w:basedOn w:val="9"/>
    <w:qFormat/>
    <w:uiPriority w:val="0"/>
    <w:rPr>
      <w:color w:val="0000FF"/>
      <w:u w:val="single"/>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0"/>
    <w:rPr>
      <w:kern w:val="2"/>
      <w:sz w:val="18"/>
      <w:szCs w:val="18"/>
    </w:rPr>
  </w:style>
  <w:style w:type="paragraph" w:styleId="14">
    <w:name w:val="No Spacing"/>
    <w:basedOn w:val="1"/>
    <w:qFormat/>
    <w:uiPriority w:val="0"/>
  </w:style>
  <w:style w:type="paragraph" w:customStyle="1" w:styleId="15">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1"/>
    <w:basedOn w:val="1"/>
    <w:qFormat/>
    <w:uiPriority w:val="0"/>
    <w:pPr>
      <w:widowControl/>
      <w:adjustRightInd w:val="0"/>
      <w:spacing w:before="120" w:after="120"/>
      <w:ind w:firstLine="200" w:firstLineChars="200"/>
      <w:contextualSpacing/>
      <w:jc w:val="left"/>
    </w:pPr>
    <w:rPr>
      <w:rFonts w:ascii="Calibri" w:hAnsi="Calibri" w:eastAsia="Adobe 仿宋 Std R"/>
      <w:szCs w:val="21"/>
    </w:rPr>
  </w:style>
  <w:style w:type="paragraph" w:styleId="17">
    <w:name w:val="List Paragraph"/>
    <w:basedOn w:val="1"/>
    <w:qFormat/>
    <w:uiPriority w:val="99"/>
    <w:pPr>
      <w:ind w:firstLine="420" w:firstLineChars="200"/>
    </w:pPr>
  </w:style>
  <w:style w:type="paragraph" w:customStyle="1" w:styleId="18">
    <w:name w:val="Table Paragraph"/>
    <w:basedOn w:val="1"/>
    <w:qFormat/>
    <w:uiPriority w:val="1"/>
    <w:rPr>
      <w:rFonts w:ascii="宋体" w:hAnsi="宋体" w:cs="宋体"/>
      <w:lang w:val="zh-CN" w:bidi="zh-CN"/>
    </w:rPr>
  </w:style>
  <w:style w:type="table" w:customStyle="1" w:styleId="19">
    <w:name w:val="Table Normal"/>
    <w:basedOn w:val="8"/>
    <w:qFormat/>
    <w:uiPriority w:val="0"/>
    <w:tblPr>
      <w:tblCellMar>
        <w:top w:w="0" w:type="dxa"/>
        <w:left w:w="0" w:type="dxa"/>
        <w:bottom w:w="0" w:type="dxa"/>
        <w:right w:w="0" w:type="dxa"/>
      </w:tblCellMar>
    </w:tblPr>
  </w:style>
  <w:style w:type="paragraph" w:customStyle="1" w:styleId="20">
    <w:name w:val="正文_0"/>
    <w:basedOn w:val="1"/>
    <w:qFormat/>
    <w:uiPriority w:val="0"/>
    <w:rPr>
      <w:szCs w:val="21"/>
    </w:rPr>
  </w:style>
  <w:style w:type="paragraph" w:customStyle="1" w:styleId="21">
    <w:name w:val="Null"/>
    <w:basedOn w:val="1"/>
    <w:qFormat/>
    <w:uiPriority w:val="0"/>
    <w:pPr>
      <w:widowControl/>
      <w:jc w:val="left"/>
      <w:textAlignment w:val="baseline"/>
    </w:pPr>
    <w:rPr>
      <w:rFonts w:ascii="Calibri" w:hAnsi="Calibri"/>
      <w:kern w:val="0"/>
      <w:sz w:val="22"/>
      <w:szCs w:val="22"/>
    </w:rPr>
  </w:style>
  <w:style w:type="character" w:customStyle="1" w:styleId="22">
    <w:name w:val="15"/>
    <w:basedOn w:val="9"/>
    <w:qFormat/>
    <w:uiPriority w:val="0"/>
    <w:rPr>
      <w:rFonts w:hint="default" w:ascii="Calibri" w:hAnsi="Calibri" w:cs="Calibri"/>
    </w:rPr>
  </w:style>
  <w:style w:type="paragraph" w:customStyle="1" w:styleId="23">
    <w:name w:val="正文_0_0"/>
    <w:basedOn w:val="1"/>
    <w:qFormat/>
    <w:uiPriority w:val="0"/>
    <w:rPr>
      <w:rFonts w:ascii="Calibri" w:hAnsi="Calibri"/>
      <w:szCs w:val="21"/>
    </w:rPr>
  </w:style>
  <w:style w:type="paragraph" w:customStyle="1" w:styleId="24">
    <w:name w:val="正文2"/>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19</Pages>
  <Words>11897</Words>
  <Characters>12656</Characters>
  <Paragraphs>355</Paragraphs>
  <TotalTime>3</TotalTime>
  <ScaleCrop>false</ScaleCrop>
  <LinksUpToDate>false</LinksUpToDate>
  <CharactersWithSpaces>13085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2022-06-13T01:09:00Z</dcterms:created>
  <dc:creator>Sky123.Org</dc:creator>
  <cp:lastModifiedBy>小静</cp:lastModifiedBy>
  <dcterms:modified xsi:type="dcterms:W3CDTF">2024-12-30T05:47:25Z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BB29F21C74454D7A9504DE20B015DA7E_13</vt:lpwstr>
  </property>
</Properties>
</file>